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842" w:rsidRDefault="00FC38CE" w:rsidP="00B82C1C">
      <w:pPr>
        <w:tabs>
          <w:tab w:val="left" w:leader="dot" w:pos="6120"/>
        </w:tabs>
        <w:spacing w:after="0" w:line="312" w:lineRule="auto"/>
        <w:contextualSpacing/>
        <w:jc w:val="left"/>
        <w:rPr>
          <w:rFonts w:ascii="Times New Roman" w:eastAsia="Times New Roman" w:hAnsi="Times New Roman" w:cs="Times New Roman"/>
          <w:b/>
          <w:sz w:val="24"/>
          <w:szCs w:val="24"/>
          <w:lang w:val="en-US" w:eastAsia="vi-VN"/>
        </w:rPr>
      </w:pPr>
      <w:bookmarkStart w:id="0" w:name="_Toc399633762"/>
      <w:bookmarkStart w:id="1" w:name="_GoBack"/>
      <w:bookmarkEnd w:id="1"/>
      <w:r w:rsidRPr="00FC38CE">
        <w:rPr>
          <w:rFonts w:ascii="Times New Roman" w:eastAsia="Times New Roman" w:hAnsi="Times New Roman" w:cs="Times New Roman"/>
          <w:b/>
          <w:sz w:val="24"/>
          <w:szCs w:val="24"/>
          <w:lang w:val="en-US" w:eastAsia="vi-VN"/>
        </w:rPr>
        <w:t>ĐÁNH GIÁ ĐIỀU TRỊ THOÁT V</w:t>
      </w:r>
      <w:r>
        <w:rPr>
          <w:rFonts w:ascii="Times New Roman" w:eastAsia="Times New Roman" w:hAnsi="Times New Roman" w:cs="Times New Roman"/>
          <w:b/>
          <w:sz w:val="24"/>
          <w:szCs w:val="24"/>
          <w:lang w:val="en-US" w:eastAsia="vi-VN"/>
        </w:rPr>
        <w:t xml:space="preserve">Ị ĐĨA ĐỆM CỘT SỐNG CỔ BẰNG PHẪU </w:t>
      </w:r>
      <w:r w:rsidRPr="00FC38CE">
        <w:rPr>
          <w:rFonts w:ascii="Times New Roman" w:eastAsia="Times New Roman" w:hAnsi="Times New Roman" w:cs="Times New Roman"/>
          <w:b/>
          <w:sz w:val="24"/>
          <w:szCs w:val="24"/>
          <w:lang w:val="en-US" w:eastAsia="vi-VN"/>
        </w:rPr>
        <w:t>THUẬT LỐI TRƯỚC VÀ HÀN XƯƠNGVỚI LỒNG PEEK</w:t>
      </w:r>
    </w:p>
    <w:p w:rsidR="00957486" w:rsidRDefault="00957486" w:rsidP="00B82C1C">
      <w:pPr>
        <w:tabs>
          <w:tab w:val="left" w:leader="dot" w:pos="6120"/>
        </w:tabs>
        <w:spacing w:after="0" w:line="312" w:lineRule="auto"/>
        <w:contextualSpacing/>
        <w:jc w:val="left"/>
        <w:rPr>
          <w:rFonts w:ascii="Times New Roman" w:eastAsia="Times New Roman" w:hAnsi="Times New Roman" w:cs="Times New Roman"/>
          <w:b/>
          <w:sz w:val="24"/>
          <w:szCs w:val="24"/>
          <w:lang w:val="en-US" w:eastAsia="vi-VN"/>
        </w:rPr>
      </w:pPr>
    </w:p>
    <w:p w:rsidR="00957486" w:rsidRDefault="00957486" w:rsidP="00B82C1C">
      <w:pPr>
        <w:tabs>
          <w:tab w:val="left" w:leader="dot" w:pos="6120"/>
        </w:tabs>
        <w:spacing w:after="0" w:line="312" w:lineRule="auto"/>
        <w:contextualSpacing/>
        <w:jc w:val="left"/>
        <w:rPr>
          <w:rFonts w:ascii="Times New Roman" w:eastAsia="Times New Roman" w:hAnsi="Times New Roman" w:cs="Times New Roman"/>
          <w:b/>
          <w:sz w:val="24"/>
          <w:szCs w:val="24"/>
          <w:lang w:val="en-US" w:eastAsia="vi-VN"/>
        </w:rPr>
      </w:pPr>
      <w:r>
        <w:rPr>
          <w:rFonts w:ascii="Times New Roman" w:eastAsia="Times New Roman" w:hAnsi="Times New Roman" w:cs="Times New Roman"/>
          <w:b/>
          <w:sz w:val="24"/>
          <w:szCs w:val="24"/>
          <w:lang w:val="en-US" w:eastAsia="vi-VN"/>
        </w:rPr>
        <w:t>BS. Lê Đăng Thanh</w:t>
      </w:r>
    </w:p>
    <w:p w:rsidR="00957486" w:rsidRDefault="00957486" w:rsidP="00B82C1C">
      <w:pPr>
        <w:tabs>
          <w:tab w:val="left" w:leader="dot" w:pos="6120"/>
        </w:tabs>
        <w:spacing w:after="0" w:line="312" w:lineRule="auto"/>
        <w:contextualSpacing/>
        <w:jc w:val="left"/>
        <w:rPr>
          <w:rFonts w:ascii="Times New Roman" w:eastAsia="Times New Roman" w:hAnsi="Times New Roman" w:cs="Times New Roman"/>
          <w:b/>
          <w:sz w:val="24"/>
          <w:szCs w:val="24"/>
          <w:lang w:val="en-US" w:eastAsia="vi-VN"/>
        </w:rPr>
      </w:pPr>
    </w:p>
    <w:p w:rsidR="00FC38CE" w:rsidRDefault="00FC38CE" w:rsidP="00B82C1C">
      <w:pPr>
        <w:pStyle w:val="Heading1"/>
        <w:spacing w:line="240" w:lineRule="auto"/>
        <w:ind w:left="0" w:firstLine="0"/>
        <w:contextualSpacing/>
      </w:pPr>
    </w:p>
    <w:p w:rsidR="00FC38CE" w:rsidRPr="00332C91" w:rsidRDefault="00FC38CE" w:rsidP="00B82C1C">
      <w:pPr>
        <w:pStyle w:val="Heading1"/>
        <w:spacing w:line="240" w:lineRule="auto"/>
        <w:ind w:left="0" w:firstLine="0"/>
        <w:contextualSpacing/>
      </w:pPr>
      <w:r w:rsidRPr="00332C91">
        <w:t>ĐẶT VẤN ĐỀ</w:t>
      </w:r>
      <w:bookmarkEnd w:id="0"/>
    </w:p>
    <w:p w:rsidR="00FC38CE" w:rsidRDefault="00FC38CE" w:rsidP="00B82C1C">
      <w:pPr>
        <w:spacing w:after="0" w:line="240" w:lineRule="auto"/>
        <w:contextualSpacing/>
        <w:rPr>
          <w:sz w:val="24"/>
          <w:szCs w:val="24"/>
        </w:rPr>
      </w:pPr>
      <w:r w:rsidRPr="00332C91">
        <w:rPr>
          <w:sz w:val="24"/>
          <w:szCs w:val="24"/>
        </w:rPr>
        <w:tab/>
        <w:t xml:space="preserve">Thoát vị đĩa đệm cột sống cổ khi có chèn ép </w:t>
      </w:r>
      <w:r w:rsidR="002B04F7" w:rsidRPr="002B04F7">
        <w:rPr>
          <w:sz w:val="24"/>
          <w:szCs w:val="24"/>
        </w:rPr>
        <w:t>thần kinh</w:t>
      </w:r>
      <w:r w:rsidRPr="00332C91">
        <w:rPr>
          <w:sz w:val="24"/>
          <w:szCs w:val="24"/>
        </w:rPr>
        <w:t xml:space="preserve"> thì thường cần phải phẫu thuật để giải ép. 1955 Robinson và Smith đưa ra phương pháp phẫu thuật cắt đĩa lối trước và hàn xương liên thân đốt bằng mảnh ghép mào chậu đã trở thành tiêu chuẩn vàng trong nhiều thập niên qua</w:t>
      </w:r>
      <w:r>
        <w:rPr>
          <w:noProof/>
          <w:sz w:val="24"/>
          <w:szCs w:val="24"/>
          <w:vertAlign w:val="superscript"/>
        </w:rPr>
        <w:t>[14]</w:t>
      </w:r>
      <w:r w:rsidRPr="00332C91">
        <w:rPr>
          <w:sz w:val="24"/>
          <w:szCs w:val="24"/>
        </w:rPr>
        <w:t>. Việc sử dụng xương ghép mào chậu để hàn xương có tỉ lệ hàn xương cao nhưng các biến chứng từ vị trí lấy ghép: đau chỗ ghép, máu tụ, gãy mào chậu, tê bì chỗ lấy ghép</w:t>
      </w:r>
      <w:r w:rsidRPr="00F94405">
        <w:rPr>
          <w:sz w:val="24"/>
          <w:szCs w:val="24"/>
        </w:rPr>
        <w:t xml:space="preserve"> cũng đã được ghi nhận</w:t>
      </w:r>
      <w:r>
        <w:rPr>
          <w:rFonts w:ascii="Times New Roman" w:hAnsi="Times New Roman"/>
          <w:noProof/>
          <w:sz w:val="24"/>
          <w:szCs w:val="24"/>
          <w:vertAlign w:val="superscript"/>
        </w:rPr>
        <w:t>[5]</w:t>
      </w:r>
      <w:r w:rsidRPr="00332C91">
        <w:rPr>
          <w:rFonts w:ascii="Times New Roman" w:hAnsi="Times New Roman"/>
          <w:sz w:val="24"/>
          <w:szCs w:val="24"/>
        </w:rPr>
        <w:t>.</w:t>
      </w:r>
      <w:r w:rsidRPr="00332C91">
        <w:rPr>
          <w:sz w:val="24"/>
          <w:szCs w:val="24"/>
        </w:rPr>
        <w:t xml:space="preserve"> Để ngăn ngừa các biến chứng này, lồng được nghiên cứu và sử dụng để thay thế cho xương ghép tự thân. Lồng được chế tạo từ nhiều vật liệu khác nhau như titanium, sợi carbon, polyetheretherketone (PEEK). Lồng titanium, sợi carbon đã được sử dụng để hàn xương liên thân đốt tuy nhiên hiện tượng lún, di chuyển, hư cấu hình xảy ra.</w:t>
      </w:r>
      <w:r>
        <w:rPr>
          <w:noProof/>
          <w:sz w:val="24"/>
          <w:szCs w:val="24"/>
          <w:vertAlign w:val="superscript"/>
        </w:rPr>
        <w:t>[21]</w:t>
      </w:r>
      <w:r w:rsidRPr="00332C91">
        <w:rPr>
          <w:sz w:val="24"/>
          <w:szCs w:val="24"/>
        </w:rPr>
        <w:t xml:space="preserve"> PEEK là loại vật liệu polymer sinh học không tiêu gần đây được sử dụng trong vật liệu chấn thương chỉnh hình vì có tính chất tương thích sinh học, thấu quang, và có module đàn hồi tương tự xương</w:t>
      </w:r>
      <w:r>
        <w:rPr>
          <w:noProof/>
          <w:sz w:val="24"/>
          <w:szCs w:val="24"/>
          <w:vertAlign w:val="superscript"/>
        </w:rPr>
        <w:t>[7]</w:t>
      </w:r>
      <w:r w:rsidRPr="00833998">
        <w:rPr>
          <w:sz w:val="24"/>
          <w:szCs w:val="24"/>
        </w:rPr>
        <w:t xml:space="preserve">. </w:t>
      </w:r>
      <w:r w:rsidRPr="00332C91">
        <w:rPr>
          <w:sz w:val="24"/>
          <w:szCs w:val="24"/>
        </w:rPr>
        <w:t>Bên cạnh đó, xương ghép xốp đồng loại đã được sử dụng thành công trong phẫu thuật chấn thương chỉnh hình trong thời gian dài.</w:t>
      </w:r>
      <w:r>
        <w:rPr>
          <w:noProof/>
          <w:sz w:val="24"/>
          <w:szCs w:val="24"/>
          <w:vertAlign w:val="superscript"/>
        </w:rPr>
        <w:t>[20]</w:t>
      </w:r>
      <w:r w:rsidRPr="00332C91">
        <w:rPr>
          <w:sz w:val="24"/>
          <w:szCs w:val="24"/>
        </w:rPr>
        <w:t>Việc phối hợp lồng PEEK có nhồi xương xốp đồng loại đã mở ra một lựa chọn trong điều trị thoát vị đĩa đệm cột sống cổ. Trong thời gian qua, khoa Cột Sống B – Bệnh viện Chấn Thương Chỉnh Hình đã sử dụng lồng PEEK có nhồi xương xốp đồng loại trong phẫu thuật cắt đĩa lối trước và hàn xương. Vì vậy chúng tôi tiến hành đề tài này để góp phần đánh giá kết quả một khuynh hướng mới trong điều trị phẫu thuật cột sống.</w:t>
      </w:r>
    </w:p>
    <w:p w:rsidR="00DE3617" w:rsidRDefault="00DE3617" w:rsidP="00B82C1C">
      <w:pPr>
        <w:spacing w:after="0" w:line="240" w:lineRule="auto"/>
        <w:contextualSpacing/>
        <w:rPr>
          <w:sz w:val="24"/>
          <w:szCs w:val="24"/>
        </w:rPr>
      </w:pPr>
    </w:p>
    <w:p w:rsidR="00FC38CE" w:rsidRPr="00332C91" w:rsidRDefault="00FC38CE" w:rsidP="00B82C1C">
      <w:pPr>
        <w:pStyle w:val="Heading1"/>
        <w:spacing w:line="240" w:lineRule="auto"/>
        <w:ind w:left="0" w:firstLine="0"/>
        <w:contextualSpacing/>
      </w:pPr>
      <w:bookmarkStart w:id="2" w:name="_Toc399633789"/>
      <w:r w:rsidRPr="00332C91">
        <w:t>ĐỐI TƯỢNG VÀ PHƯƠNG PHÁP NGHIÊN CỨU</w:t>
      </w:r>
      <w:bookmarkEnd w:id="2"/>
    </w:p>
    <w:p w:rsidR="00FC38CE" w:rsidRPr="008C293B" w:rsidRDefault="00FC38CE" w:rsidP="00B82C1C">
      <w:pPr>
        <w:pStyle w:val="Heading2"/>
        <w:contextualSpacing/>
      </w:pPr>
      <w:r w:rsidRPr="008C293B">
        <w:t>Đối tượng nghiên cứu</w:t>
      </w:r>
    </w:p>
    <w:p w:rsidR="00FC38CE" w:rsidRPr="00332C91" w:rsidRDefault="00FC38CE" w:rsidP="00B82C1C">
      <w:pPr>
        <w:spacing w:before="60" w:after="0" w:line="240" w:lineRule="auto"/>
        <w:contextualSpacing/>
        <w:rPr>
          <w:rFonts w:ascii="Times New Roman" w:eastAsia="Times New Roman" w:hAnsi="Times New Roman" w:cs="Times New Roman"/>
          <w:sz w:val="24"/>
          <w:szCs w:val="24"/>
        </w:rPr>
      </w:pPr>
      <w:r w:rsidRPr="00332C91">
        <w:rPr>
          <w:rFonts w:ascii="Times New Roman" w:eastAsia="Times New Roman" w:hAnsi="Times New Roman" w:cs="Times New Roman"/>
          <w:sz w:val="24"/>
          <w:szCs w:val="24"/>
        </w:rPr>
        <w:tab/>
        <w:t xml:space="preserve">Từ </w:t>
      </w:r>
      <w:r w:rsidRPr="00310564">
        <w:rPr>
          <w:rFonts w:ascii="Times New Roman" w:eastAsia="Times New Roman" w:hAnsi="Times New Roman" w:cs="Times New Roman"/>
          <w:sz w:val="24"/>
          <w:szCs w:val="24"/>
        </w:rPr>
        <w:t>01/</w:t>
      </w:r>
      <w:r w:rsidRPr="00332C91">
        <w:rPr>
          <w:rFonts w:ascii="Times New Roman" w:eastAsia="Times New Roman" w:hAnsi="Times New Roman" w:cs="Times New Roman"/>
          <w:sz w:val="24"/>
          <w:szCs w:val="24"/>
        </w:rPr>
        <w:t xml:space="preserve">2009 đến </w:t>
      </w:r>
      <w:r w:rsidRPr="00310564">
        <w:rPr>
          <w:rFonts w:ascii="Times New Roman" w:eastAsia="Times New Roman" w:hAnsi="Times New Roman" w:cs="Times New Roman"/>
          <w:sz w:val="24"/>
          <w:szCs w:val="24"/>
        </w:rPr>
        <w:t>10/</w:t>
      </w:r>
      <w:r w:rsidRPr="00332C91">
        <w:rPr>
          <w:rFonts w:ascii="Times New Roman" w:eastAsia="Times New Roman" w:hAnsi="Times New Roman" w:cs="Times New Roman"/>
          <w:sz w:val="24"/>
          <w:szCs w:val="24"/>
        </w:rPr>
        <w:t xml:space="preserve">2013,chúng tôi hồi cứu được 41 bệnh nhân thoát vị đĩa đệm cột sống cổ từ một đến ba tầng, đã được phẫu thuật cắt đĩa lối trước và hàn xương với lồng PEEK nhồi xương xốp đồng loại không đặt nẹp ốc tại khoa Cột Sống B – Bệnh viện Chấn Thương Chỉnh Hình – TP. Hồ Chí Minh. Thời gian theo dõi tối thiểu 12 tháng. </w:t>
      </w:r>
    </w:p>
    <w:p w:rsidR="00FC38CE" w:rsidRPr="00D622FF" w:rsidRDefault="00FC38CE" w:rsidP="00B82C1C">
      <w:pPr>
        <w:pStyle w:val="Heading2"/>
        <w:contextualSpacing/>
        <w:rPr>
          <w:rFonts w:eastAsia="Times New Roman"/>
          <w:b w:val="0"/>
        </w:rPr>
      </w:pPr>
      <w:bookmarkStart w:id="3" w:name="_Toc399633794"/>
      <w:r w:rsidRPr="00332C91">
        <w:rPr>
          <w:rFonts w:eastAsia="Times New Roman"/>
        </w:rPr>
        <w:t>Phương pháp nghiên cứu</w:t>
      </w:r>
      <w:bookmarkEnd w:id="3"/>
      <w:r>
        <w:rPr>
          <w:rFonts w:eastAsia="Times New Roman"/>
        </w:rPr>
        <w:t xml:space="preserve">: </w:t>
      </w:r>
      <w:r w:rsidRPr="00D622FF">
        <w:rPr>
          <w:rFonts w:eastAsia="Times New Roman"/>
          <w:b w:val="0"/>
        </w:rPr>
        <w:t>nghiên cứu hồi cứu</w:t>
      </w:r>
    </w:p>
    <w:p w:rsidR="00FC38CE" w:rsidRPr="00332C91" w:rsidRDefault="00FC38CE" w:rsidP="00B82C1C">
      <w:pPr>
        <w:pStyle w:val="Heading3"/>
        <w:spacing w:line="240" w:lineRule="auto"/>
        <w:contextualSpacing/>
        <w:rPr>
          <w:rFonts w:eastAsia="Times New Roman"/>
          <w:sz w:val="24"/>
          <w:lang w:val="vi-VN"/>
        </w:rPr>
      </w:pPr>
      <w:bookmarkStart w:id="4" w:name="_Toc399633797"/>
      <w:r w:rsidRPr="00332C91">
        <w:rPr>
          <w:rFonts w:eastAsia="Times New Roman"/>
          <w:sz w:val="24"/>
          <w:lang w:val="vi-VN"/>
        </w:rPr>
        <w:t>Tiêu chuẩn đánh giá kết quả điều trị</w:t>
      </w:r>
      <w:bookmarkEnd w:id="4"/>
    </w:p>
    <w:p w:rsidR="00FC38CE" w:rsidRPr="00332C91" w:rsidRDefault="00FC38CE" w:rsidP="00B82C1C">
      <w:pPr>
        <w:pStyle w:val="ListParagraph"/>
        <w:numPr>
          <w:ilvl w:val="0"/>
          <w:numId w:val="11"/>
        </w:numPr>
        <w:spacing w:before="60" w:after="0" w:line="240" w:lineRule="auto"/>
        <w:rPr>
          <w:rFonts w:ascii="Times New Roman" w:eastAsia="Times New Roman" w:hAnsi="Times New Roman" w:cs="Times New Roman"/>
          <w:sz w:val="24"/>
          <w:szCs w:val="24"/>
          <w:lang w:val="en-US"/>
        </w:rPr>
      </w:pPr>
      <w:r w:rsidRPr="00332C91">
        <w:rPr>
          <w:rFonts w:ascii="Times New Roman" w:eastAsia="Times New Roman" w:hAnsi="Times New Roman" w:cs="Times New Roman"/>
          <w:b/>
          <w:sz w:val="24"/>
          <w:szCs w:val="24"/>
          <w:lang w:val="en-US"/>
        </w:rPr>
        <w:t>Đánh giá lâm sàng:</w:t>
      </w:r>
    </w:p>
    <w:p w:rsidR="00FC38CE" w:rsidRPr="00332C91" w:rsidRDefault="00FC38CE" w:rsidP="00B82C1C">
      <w:pPr>
        <w:pStyle w:val="ListParagraph"/>
        <w:spacing w:before="60" w:after="0" w:line="240" w:lineRule="auto"/>
        <w:ind w:left="284" w:firstLine="396"/>
        <w:rPr>
          <w:rFonts w:ascii="Times New Roman" w:eastAsia="Times New Roman" w:hAnsi="Times New Roman" w:cs="Times New Roman"/>
          <w:sz w:val="24"/>
          <w:szCs w:val="24"/>
          <w:lang w:val="en-US"/>
        </w:rPr>
      </w:pPr>
      <w:r w:rsidRPr="00332C91">
        <w:rPr>
          <w:rFonts w:ascii="Times New Roman" w:eastAsia="Times New Roman" w:hAnsi="Times New Roman" w:cs="Times New Roman"/>
          <w:i/>
          <w:sz w:val="24"/>
          <w:szCs w:val="24"/>
          <w:u w:val="single"/>
          <w:lang w:val="en-US"/>
        </w:rPr>
        <w:t>Đánh giá mức độ đau:</w:t>
      </w:r>
      <w:r w:rsidRPr="00332C91">
        <w:rPr>
          <w:rFonts w:ascii="Times New Roman" w:eastAsia="Times New Roman" w:hAnsi="Times New Roman" w:cs="Times New Roman"/>
          <w:sz w:val="24"/>
          <w:szCs w:val="24"/>
          <w:lang w:val="en-US"/>
        </w:rPr>
        <w:t xml:space="preserve"> theo thang</w:t>
      </w:r>
      <w:r w:rsidR="00477DF1">
        <w:rPr>
          <w:rFonts w:ascii="Times New Roman" w:eastAsia="Times New Roman" w:hAnsi="Times New Roman" w:cs="Times New Roman"/>
          <w:sz w:val="24"/>
          <w:szCs w:val="24"/>
          <w:lang w:val="en-US"/>
        </w:rPr>
        <w:t xml:space="preserve"> điểm VAS (Visual Analog Scale)</w:t>
      </w:r>
    </w:p>
    <w:p w:rsidR="00FC38CE" w:rsidRDefault="00FC38CE" w:rsidP="00B82C1C">
      <w:pPr>
        <w:pStyle w:val="ListParagraph"/>
        <w:spacing w:before="60" w:after="0" w:line="240" w:lineRule="auto"/>
        <w:ind w:left="284" w:firstLine="396"/>
        <w:rPr>
          <w:rFonts w:ascii="Times New Roman" w:eastAsia="Times New Roman" w:hAnsi="Times New Roman" w:cs="Times New Roman"/>
          <w:sz w:val="24"/>
          <w:szCs w:val="24"/>
          <w:lang w:val="en-US"/>
        </w:rPr>
      </w:pPr>
      <w:r w:rsidRPr="00332C91">
        <w:rPr>
          <w:rFonts w:ascii="Times New Roman" w:eastAsia="Times New Roman" w:hAnsi="Times New Roman" w:cs="Times New Roman"/>
          <w:i/>
          <w:sz w:val="24"/>
          <w:szCs w:val="24"/>
          <w:u w:val="single"/>
          <w:lang w:val="en-US"/>
        </w:rPr>
        <w:t>Đánh giá chức năng thần kinh</w:t>
      </w:r>
      <w:r w:rsidRPr="00332C91">
        <w:rPr>
          <w:rFonts w:ascii="Times New Roman" w:eastAsia="Times New Roman" w:hAnsi="Times New Roman" w:cs="Times New Roman"/>
          <w:sz w:val="24"/>
          <w:szCs w:val="24"/>
          <w:lang w:val="en-US"/>
        </w:rPr>
        <w:t>: theo thang điểm của Hiệp hội Chấn T</w:t>
      </w:r>
      <w:r>
        <w:rPr>
          <w:rFonts w:ascii="Times New Roman" w:eastAsia="Times New Roman" w:hAnsi="Times New Roman" w:cs="Times New Roman"/>
          <w:sz w:val="24"/>
          <w:szCs w:val="24"/>
          <w:lang w:val="en-US"/>
        </w:rPr>
        <w:t xml:space="preserve">hương Chỉnh Hình Nhật Bản (JOA) </w:t>
      </w:r>
    </w:p>
    <w:p w:rsidR="00FC38CE" w:rsidRPr="00310564" w:rsidRDefault="00FC38CE" w:rsidP="00B82C1C">
      <w:pPr>
        <w:pStyle w:val="ListParagraph"/>
        <w:spacing w:before="60" w:after="0" w:line="240" w:lineRule="auto"/>
        <w:ind w:left="284" w:firstLine="396"/>
        <w:rPr>
          <w:rFonts w:eastAsiaTheme="minorEastAsia"/>
          <w:i/>
          <w:sz w:val="24"/>
          <w:szCs w:val="24"/>
          <w:u w:val="single"/>
        </w:rPr>
      </w:pPr>
      <w:r w:rsidRPr="00310564">
        <w:rPr>
          <w:rFonts w:ascii="Times New Roman" w:eastAsia="Times New Roman" w:hAnsi="Times New Roman" w:cs="Times New Roman"/>
          <w:i/>
          <w:sz w:val="24"/>
          <w:szCs w:val="24"/>
          <w:u w:val="single"/>
          <w:lang w:val="en-US"/>
        </w:rPr>
        <w:t>T</w:t>
      </w:r>
      <w:r w:rsidRPr="00310564">
        <w:rPr>
          <w:rFonts w:eastAsiaTheme="minorEastAsia"/>
          <w:i/>
          <w:sz w:val="24"/>
          <w:szCs w:val="24"/>
          <w:u w:val="single"/>
        </w:rPr>
        <w:t>ính tỉ lệ phục hồi (theo Hirabayashi)</w:t>
      </w:r>
    </w:p>
    <w:p w:rsidR="00FC38CE" w:rsidRPr="00310564" w:rsidRDefault="00FC38CE" w:rsidP="00B82C1C">
      <w:pPr>
        <w:spacing w:before="60" w:after="0" w:line="240" w:lineRule="auto"/>
        <w:ind w:left="640" w:firstLine="720"/>
        <w:contextualSpacing/>
        <w:rPr>
          <w:rFonts w:eastAsia="Times New Roman"/>
          <w:sz w:val="24"/>
          <w:szCs w:val="24"/>
          <w:lang w:val="en-US"/>
        </w:rPr>
      </w:pPr>
      <m:oMathPara>
        <m:oMath>
          <m:r>
            <m:rPr>
              <m:sty m:val="p"/>
            </m:rPr>
            <w:rPr>
              <w:rFonts w:ascii="Cambria Math" w:hAnsi="Cambria Math"/>
              <w:sz w:val="24"/>
              <w:szCs w:val="24"/>
            </w:rPr>
            <m:t xml:space="preserve">Tỉ lệ phục hồi </m:t>
          </m:r>
          <m:d>
            <m:dPr>
              <m:ctrlPr>
                <w:rPr>
                  <w:rFonts w:ascii="Cambria Math" w:hAnsi="Cambria Math"/>
                  <w:sz w:val="24"/>
                  <w:szCs w:val="24"/>
                </w:rPr>
              </m:ctrlPr>
            </m:dPr>
            <m:e>
              <m:r>
                <m:rPr>
                  <m:sty m:val="p"/>
                </m:rPr>
                <w:rPr>
                  <w:rFonts w:ascii="Cambria Math" w:hAnsi="Cambria Math"/>
                  <w:sz w:val="24"/>
                  <w:szCs w:val="24"/>
                </w:rPr>
                <m:t>RR</m:t>
              </m:r>
            </m:e>
          </m:d>
          <m:r>
            <m:rPr>
              <m:sty m:val="p"/>
            </m:rPr>
            <w:rPr>
              <w:rFonts w:ascii="Cambria Math" w:eastAsia="Times New Roman" w:hAnsi="Cambria Math"/>
              <w:sz w:val="24"/>
              <w:szCs w:val="24"/>
              <w:lang w:val="en-US"/>
            </w:rPr>
            <m:t>=</m:t>
          </m:r>
          <m:f>
            <m:fPr>
              <m:ctrlPr>
                <w:rPr>
                  <w:rFonts w:ascii="Cambria Math" w:eastAsia="Times New Roman" w:hAnsi="Cambria Math"/>
                  <w:sz w:val="24"/>
                  <w:szCs w:val="24"/>
                  <w:lang w:val="en-US"/>
                </w:rPr>
              </m:ctrlPr>
            </m:fPr>
            <m:num>
              <m:r>
                <m:rPr>
                  <m:sty m:val="p"/>
                </m:rPr>
                <w:rPr>
                  <w:rFonts w:ascii="Cambria Math" w:hAnsi="Cambria Math"/>
                  <w:sz w:val="24"/>
                  <w:szCs w:val="24"/>
                </w:rPr>
                <m:t xml:space="preserve">Điểm JOA </m:t>
              </m:r>
              <m:d>
                <m:dPr>
                  <m:ctrlPr>
                    <w:rPr>
                      <w:rFonts w:ascii="Cambria Math" w:hAnsi="Cambria Math"/>
                      <w:sz w:val="24"/>
                      <w:szCs w:val="24"/>
                    </w:rPr>
                  </m:ctrlPr>
                </m:dPr>
                <m:e>
                  <m:r>
                    <m:rPr>
                      <m:sty m:val="p"/>
                    </m:rPr>
                    <w:rPr>
                      <w:rFonts w:ascii="Cambria Math" w:hAnsi="Cambria Math"/>
                      <w:sz w:val="24"/>
                      <w:szCs w:val="24"/>
                    </w:rPr>
                    <m:t>hậu phẫu</m:t>
                  </m:r>
                </m:e>
              </m:d>
              <m:r>
                <m:rPr>
                  <m:sty m:val="p"/>
                </m:rPr>
                <w:rPr>
                  <w:rFonts w:ascii="Cambria Math" w:hAnsi="Cambria Math"/>
                  <w:sz w:val="24"/>
                  <w:szCs w:val="24"/>
                </w:rPr>
                <m:t>- JOA tiền phẫu</m:t>
              </m:r>
            </m:num>
            <m:den>
              <m:r>
                <m:rPr>
                  <m:sty m:val="p"/>
                </m:rPr>
                <w:rPr>
                  <w:rFonts w:ascii="Cambria Math" w:hAnsi="Cambria Math"/>
                  <w:sz w:val="24"/>
                  <w:szCs w:val="24"/>
                </w:rPr>
                <m:t>17 - JOA tiền phẫu</m:t>
              </m:r>
            </m:den>
          </m:f>
          <m:r>
            <m:rPr>
              <m:sty m:val="p"/>
            </m:rPr>
            <w:rPr>
              <w:rFonts w:ascii="Cambria Math" w:eastAsia="Times New Roman" w:hAnsi="Cambria Math"/>
              <w:sz w:val="24"/>
              <w:szCs w:val="24"/>
              <w:lang w:val="en-US"/>
            </w:rPr>
            <m:t>x 100</m:t>
          </m:r>
        </m:oMath>
      </m:oMathPara>
    </w:p>
    <w:p w:rsidR="00FC38CE" w:rsidRPr="00310564" w:rsidRDefault="00FC38CE" w:rsidP="00B82C1C">
      <w:pPr>
        <w:pStyle w:val="ListParagraph"/>
        <w:spacing w:before="60"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RR&gt;75%: rất tốt, RR&gt;50%: tốt, RR&gt;20%: trung bình, RR&lt;20%: xấu</w:t>
      </w:r>
    </w:p>
    <w:p w:rsidR="00FC38CE" w:rsidRPr="00332C91" w:rsidRDefault="00FC38CE" w:rsidP="00B82C1C">
      <w:pPr>
        <w:pStyle w:val="ListParagraph"/>
        <w:numPr>
          <w:ilvl w:val="0"/>
          <w:numId w:val="11"/>
        </w:numPr>
        <w:spacing w:before="60" w:after="0" w:line="240" w:lineRule="auto"/>
        <w:rPr>
          <w:rFonts w:ascii="Times New Roman" w:eastAsia="Times New Roman" w:hAnsi="Times New Roman" w:cs="Times New Roman"/>
          <w:sz w:val="24"/>
          <w:szCs w:val="24"/>
        </w:rPr>
      </w:pPr>
      <w:r w:rsidRPr="00332C91">
        <w:rPr>
          <w:rFonts w:ascii="Times New Roman" w:eastAsia="Times New Roman" w:hAnsi="Times New Roman" w:cs="Times New Roman"/>
          <w:b/>
          <w:sz w:val="24"/>
          <w:szCs w:val="24"/>
        </w:rPr>
        <w:t xml:space="preserve">Đánh giá liền xương trên XQuang </w:t>
      </w:r>
    </w:p>
    <w:p w:rsidR="00FC38CE" w:rsidRPr="00332C91" w:rsidRDefault="00FC38CE" w:rsidP="00B82C1C">
      <w:pPr>
        <w:spacing w:before="60" w:after="0" w:line="240" w:lineRule="auto"/>
        <w:ind w:firstLine="680"/>
        <w:contextualSpacing/>
        <w:rPr>
          <w:rFonts w:ascii="Times New Roman" w:eastAsia="Times New Roman" w:hAnsi="Times New Roman" w:cs="Times New Roman"/>
          <w:sz w:val="24"/>
          <w:szCs w:val="24"/>
        </w:rPr>
      </w:pPr>
      <w:r w:rsidRPr="00310564">
        <w:rPr>
          <w:rFonts w:ascii="Times New Roman" w:eastAsia="Times New Roman" w:hAnsi="Times New Roman" w:cs="Times New Roman"/>
          <w:b/>
          <w:i/>
          <w:sz w:val="24"/>
          <w:szCs w:val="24"/>
        </w:rPr>
        <w:lastRenderedPageBreak/>
        <w:t>Hàn xương thành công</w:t>
      </w:r>
      <w:r>
        <w:rPr>
          <w:rFonts w:ascii="Times New Roman" w:eastAsia="Times New Roman" w:hAnsi="Times New Roman" w:cs="Times New Roman"/>
          <w:noProof/>
          <w:sz w:val="24"/>
          <w:szCs w:val="24"/>
          <w:vertAlign w:val="superscript"/>
        </w:rPr>
        <w:t>[1, 8, 10]</w:t>
      </w:r>
      <w:r w:rsidRPr="00332C91">
        <w:rPr>
          <w:rFonts w:ascii="Times New Roman" w:eastAsia="Times New Roman" w:hAnsi="Times New Roman" w:cs="Times New Roman"/>
          <w:sz w:val="24"/>
          <w:szCs w:val="24"/>
        </w:rPr>
        <w:t>:</w:t>
      </w:r>
      <w:r w:rsidRPr="001731BD">
        <w:rPr>
          <w:rFonts w:ascii="Times New Roman" w:eastAsia="Times New Roman" w:hAnsi="Times New Roman" w:cs="Times New Roman"/>
          <w:sz w:val="24"/>
          <w:szCs w:val="24"/>
        </w:rPr>
        <w:t xml:space="preserve"> (1) k</w:t>
      </w:r>
      <w:r w:rsidRPr="00332C91">
        <w:rPr>
          <w:rFonts w:ascii="Times New Roman" w:eastAsia="Times New Roman" w:hAnsi="Times New Roman" w:cs="Times New Roman"/>
          <w:sz w:val="24"/>
          <w:szCs w:val="24"/>
        </w:rPr>
        <w:t>hông thấy đường thấu quang giữa lồng và tấm tận</w:t>
      </w:r>
      <w:r w:rsidRPr="001731BD">
        <w:rPr>
          <w:rFonts w:ascii="Times New Roman" w:eastAsia="Times New Roman" w:hAnsi="Times New Roman" w:cs="Times New Roman"/>
          <w:sz w:val="24"/>
          <w:szCs w:val="24"/>
        </w:rPr>
        <w:t>, (2) c</w:t>
      </w:r>
      <w:r w:rsidRPr="00332C91">
        <w:rPr>
          <w:rFonts w:ascii="Times New Roman" w:eastAsia="Times New Roman" w:hAnsi="Times New Roman" w:cs="Times New Roman"/>
          <w:sz w:val="24"/>
          <w:szCs w:val="24"/>
        </w:rPr>
        <w:t>ó bè xương bắt cầu trong khoang đĩa đệm tầng hàn xương</w:t>
      </w:r>
      <w:r w:rsidRPr="001731BD">
        <w:rPr>
          <w:rFonts w:ascii="Times New Roman" w:eastAsia="Times New Roman" w:hAnsi="Times New Roman" w:cs="Times New Roman"/>
          <w:sz w:val="24"/>
          <w:szCs w:val="24"/>
        </w:rPr>
        <w:t xml:space="preserve">, (3) </w:t>
      </w:r>
      <w:r w:rsidRPr="00332C91">
        <w:rPr>
          <w:rFonts w:ascii="Times New Roman" w:eastAsia="Times New Roman" w:hAnsi="Times New Roman" w:cs="Times New Roman"/>
          <w:sz w:val="24"/>
          <w:szCs w:val="24"/>
        </w:rPr>
        <w:t>XQ cột sống cổ động cúi và ngửa ở tầng hàn xương: sự khác biệt của góc Cobb nhỏ hơn 2</w:t>
      </w:r>
      <w:r w:rsidRPr="00332C91">
        <w:rPr>
          <w:rFonts w:ascii="Times New Roman" w:eastAsia="Times New Roman" w:hAnsi="Times New Roman" w:cs="Times New Roman"/>
          <w:sz w:val="24"/>
          <w:szCs w:val="24"/>
          <w:vertAlign w:val="superscript"/>
        </w:rPr>
        <w:t>0</w:t>
      </w:r>
      <w:r w:rsidRPr="00332C91">
        <w:rPr>
          <w:rFonts w:ascii="Times New Roman" w:eastAsia="Times New Roman" w:hAnsi="Times New Roman" w:cs="Times New Roman"/>
          <w:sz w:val="24"/>
          <w:szCs w:val="24"/>
        </w:rPr>
        <w:t xml:space="preserve"> HOẶC khoảng cách giữa 2 đỉnh mấu gai nhỏ hơn 2mm. Trong nghiên cứu, chúng tôi sử dụng cách đo khoảng cách giữa các mấu gai.Chụp cắt lớp vi tính trong các trường hợp không chắc chắn về tình trạng liền xương.</w:t>
      </w:r>
    </w:p>
    <w:p w:rsidR="00FC38CE" w:rsidRPr="00332C91" w:rsidRDefault="00FC38CE" w:rsidP="00B82C1C">
      <w:pPr>
        <w:spacing w:before="60" w:after="0" w:line="240" w:lineRule="auto"/>
        <w:ind w:firstLine="709"/>
        <w:contextualSpacing/>
        <w:rPr>
          <w:rFonts w:ascii="Times New Roman" w:eastAsia="Times New Roman" w:hAnsi="Times New Roman" w:cs="Times New Roman"/>
          <w:sz w:val="24"/>
          <w:szCs w:val="24"/>
          <w:vertAlign w:val="superscript"/>
        </w:rPr>
      </w:pPr>
      <w:r w:rsidRPr="00332C91">
        <w:rPr>
          <w:rFonts w:ascii="Times New Roman" w:eastAsia="Times New Roman" w:hAnsi="Times New Roman" w:cs="Times New Roman"/>
          <w:b/>
          <w:i/>
          <w:sz w:val="24"/>
          <w:szCs w:val="24"/>
        </w:rPr>
        <w:t>Không liền xương</w:t>
      </w:r>
      <w:r w:rsidRPr="00332C91">
        <w:rPr>
          <w:rFonts w:ascii="Times New Roman" w:eastAsia="Times New Roman" w:hAnsi="Times New Roman" w:cs="Times New Roman"/>
          <w:sz w:val="24"/>
          <w:szCs w:val="24"/>
        </w:rPr>
        <w:t xml:space="preserve"> được định nghĩa khi sự chênh lệch giữa khoảng cách mấu gai trên XQ cột sống cổ cúi và ngửa cổ lớn hơn 2mm ở lần khám cuối cùng với thời gian theo dõi trên 1năm.</w:t>
      </w:r>
      <w:r>
        <w:rPr>
          <w:rFonts w:ascii="Times New Roman" w:eastAsia="Times New Roman" w:hAnsi="Times New Roman" w:cs="Times New Roman"/>
          <w:noProof/>
          <w:sz w:val="24"/>
          <w:szCs w:val="24"/>
          <w:vertAlign w:val="superscript"/>
        </w:rPr>
        <w:t>[11]</w:t>
      </w:r>
    </w:p>
    <w:p w:rsidR="00FC38CE" w:rsidRPr="00332C91" w:rsidRDefault="00FC38CE" w:rsidP="00B82C1C">
      <w:pPr>
        <w:pStyle w:val="ListParagraph"/>
        <w:numPr>
          <w:ilvl w:val="0"/>
          <w:numId w:val="11"/>
        </w:numPr>
        <w:spacing w:before="60" w:after="0" w:line="240" w:lineRule="auto"/>
        <w:rPr>
          <w:rFonts w:ascii="Times New Roman" w:eastAsia="Times New Roman" w:hAnsi="Times New Roman" w:cs="Times New Roman"/>
          <w:b/>
          <w:sz w:val="24"/>
          <w:szCs w:val="24"/>
        </w:rPr>
      </w:pPr>
      <w:r w:rsidRPr="00332C91">
        <w:rPr>
          <w:rFonts w:ascii="Times New Roman" w:eastAsia="Times New Roman" w:hAnsi="Times New Roman" w:cs="Times New Roman"/>
          <w:b/>
          <w:sz w:val="24"/>
          <w:szCs w:val="24"/>
        </w:rPr>
        <w:t xml:space="preserve">Đánh giá độ ưỡn cột sống </w:t>
      </w:r>
    </w:p>
    <w:p w:rsidR="00FC38CE" w:rsidRPr="00544454" w:rsidRDefault="00FC38CE" w:rsidP="00B82C1C">
      <w:pPr>
        <w:spacing w:before="60" w:after="0" w:line="240" w:lineRule="auto"/>
        <w:ind w:firstLine="720"/>
        <w:contextualSpacing/>
        <w:rPr>
          <w:rFonts w:ascii="Times New Roman" w:eastAsia="Times New Roman" w:hAnsi="Times New Roman" w:cs="Times New Roman"/>
          <w:sz w:val="24"/>
          <w:szCs w:val="24"/>
        </w:rPr>
      </w:pPr>
      <w:r w:rsidRPr="00544454">
        <w:rPr>
          <w:rFonts w:ascii="Times New Roman" w:eastAsia="Times New Roman" w:hAnsi="Times New Roman" w:cs="Times New Roman"/>
          <w:sz w:val="24"/>
          <w:szCs w:val="24"/>
        </w:rPr>
        <w:t>Đo góc Cobb tầng hàn xương trước mổ, ngay sau mổ và lần tái khám cuối</w:t>
      </w:r>
      <w:r w:rsidR="00A46ECC" w:rsidRPr="00A46ECC">
        <w:rPr>
          <w:rFonts w:ascii="Times New Roman" w:eastAsia="Times New Roman" w:hAnsi="Times New Roman" w:cs="Times New Roman"/>
          <w:sz w:val="24"/>
          <w:szCs w:val="24"/>
        </w:rPr>
        <w:t>:</w:t>
      </w:r>
      <w:r w:rsidRPr="00544454">
        <w:rPr>
          <w:rFonts w:ascii="Times New Roman" w:eastAsia="Times New Roman" w:hAnsi="Times New Roman" w:cs="Times New Roman"/>
          <w:sz w:val="24"/>
          <w:szCs w:val="24"/>
        </w:rPr>
        <w:t>là góc tạo bởi đường thẳng đi qua tấm tận trên đốt sống trên và tấm tận dưới đốt sống dưới trên XQ cột sống cổ nghiêng</w:t>
      </w:r>
      <w:r w:rsidRPr="00544454">
        <w:rPr>
          <w:rFonts w:ascii="Times New Roman" w:eastAsia="Times New Roman" w:hAnsi="Times New Roman" w:cs="Times New Roman"/>
          <w:b/>
          <w:noProof/>
          <w:sz w:val="24"/>
          <w:szCs w:val="24"/>
          <w:vertAlign w:val="superscript"/>
        </w:rPr>
        <w:t>[9]</w:t>
      </w:r>
      <w:r w:rsidR="00A46ECC">
        <w:rPr>
          <w:rFonts w:ascii="Times New Roman" w:eastAsia="Times New Roman" w:hAnsi="Times New Roman" w:cs="Times New Roman"/>
          <w:sz w:val="24"/>
          <w:szCs w:val="24"/>
        </w:rPr>
        <w:t>,</w:t>
      </w:r>
      <w:r w:rsidRPr="00544454">
        <w:rPr>
          <w:rFonts w:ascii="Times New Roman" w:eastAsia="Times New Roman" w:hAnsi="Times New Roman" w:cs="Times New Roman"/>
          <w:sz w:val="24"/>
          <w:szCs w:val="24"/>
        </w:rPr>
        <w:t xml:space="preserve"> độ mất sửa gù (độ) = góc Cobb (lần tái khám) – góc Cobb (ngay sau mổ).Đo góc Cobb C2 – C7 trước mổ và lần tái khám cuối cùng</w:t>
      </w:r>
      <w:r w:rsidR="00E13A47" w:rsidRPr="00E13A47">
        <w:rPr>
          <w:rFonts w:ascii="Times New Roman" w:eastAsia="Times New Roman" w:hAnsi="Times New Roman" w:cs="Times New Roman"/>
          <w:sz w:val="24"/>
          <w:szCs w:val="24"/>
        </w:rPr>
        <w:t>:</w:t>
      </w:r>
      <w:r w:rsidRPr="00544454">
        <w:rPr>
          <w:rFonts w:ascii="Times New Roman" w:eastAsia="Times New Roman" w:hAnsi="Times New Roman" w:cs="Times New Roman"/>
          <w:sz w:val="24"/>
          <w:szCs w:val="24"/>
        </w:rPr>
        <w:t>là góc tạo bởi đường thẳng đi qua bờ dưới C2 và đường thẳng đi qua bờ dưới C7 trên XQ cột sống cổ nghiêng</w:t>
      </w:r>
      <w:r w:rsidRPr="00544454">
        <w:rPr>
          <w:rFonts w:ascii="Times New Roman" w:eastAsia="Times New Roman" w:hAnsi="Times New Roman" w:cs="Times New Roman"/>
          <w:noProof/>
          <w:sz w:val="24"/>
          <w:szCs w:val="24"/>
          <w:vertAlign w:val="superscript"/>
        </w:rPr>
        <w:t>[2]</w:t>
      </w:r>
      <w:r w:rsidRPr="00544454">
        <w:rPr>
          <w:rFonts w:ascii="Times New Roman" w:eastAsia="Times New Roman" w:hAnsi="Times New Roman" w:cs="Times New Roman"/>
          <w:sz w:val="24"/>
          <w:szCs w:val="24"/>
        </w:rPr>
        <w:t>Trong nghiên cứu chúng tôi quy ước ở cột sống cổ: góc ưỡn có giá trị dương, góc gù có giá trị âm.</w:t>
      </w:r>
    </w:p>
    <w:p w:rsidR="00FC38CE" w:rsidRPr="00A46ECC" w:rsidRDefault="00FC38CE" w:rsidP="00B82C1C">
      <w:pPr>
        <w:pStyle w:val="ListParagraph"/>
        <w:numPr>
          <w:ilvl w:val="0"/>
          <w:numId w:val="11"/>
        </w:numPr>
        <w:spacing w:before="60" w:after="0" w:line="240" w:lineRule="auto"/>
        <w:ind w:left="0" w:firstLine="360"/>
        <w:rPr>
          <w:rFonts w:ascii="Times New Roman" w:eastAsia="Times New Roman" w:hAnsi="Times New Roman" w:cs="Times New Roman"/>
          <w:sz w:val="24"/>
          <w:szCs w:val="24"/>
        </w:rPr>
      </w:pPr>
      <w:r w:rsidRPr="00A46ECC">
        <w:rPr>
          <w:rFonts w:ascii="Times New Roman" w:eastAsia="Times New Roman" w:hAnsi="Times New Roman" w:cs="Times New Roman"/>
          <w:b/>
          <w:sz w:val="24"/>
          <w:szCs w:val="24"/>
        </w:rPr>
        <w:t>Đánh giá độ lún của lồng xương</w:t>
      </w:r>
      <w:r w:rsidR="00A46ECC" w:rsidRPr="00A46ECC">
        <w:rPr>
          <w:rFonts w:ascii="Times New Roman" w:eastAsia="Times New Roman" w:hAnsi="Times New Roman" w:cs="Times New Roman"/>
          <w:b/>
          <w:sz w:val="24"/>
          <w:szCs w:val="24"/>
        </w:rPr>
        <w:t xml:space="preserve">: </w:t>
      </w:r>
      <w:r w:rsidRPr="00A46ECC">
        <w:rPr>
          <w:rFonts w:ascii="Times New Roman" w:eastAsia="Times New Roman" w:hAnsi="Times New Roman" w:cs="Times New Roman"/>
          <w:sz w:val="24"/>
          <w:szCs w:val="24"/>
        </w:rPr>
        <w:t xml:space="preserve">Theo Ha </w:t>
      </w:r>
      <w:r w:rsidRPr="00A46ECC">
        <w:rPr>
          <w:rFonts w:ascii="Times New Roman" w:eastAsia="Times New Roman" w:hAnsi="Times New Roman" w:cs="Times New Roman"/>
          <w:noProof/>
          <w:sz w:val="24"/>
          <w:szCs w:val="24"/>
          <w:vertAlign w:val="superscript"/>
        </w:rPr>
        <w:t>[6]</w:t>
      </w:r>
      <w:r w:rsidRPr="00A46ECC">
        <w:rPr>
          <w:rFonts w:ascii="Times New Roman" w:eastAsia="Times New Roman" w:hAnsi="Times New Roman" w:cs="Times New Roman"/>
          <w:sz w:val="24"/>
          <w:szCs w:val="24"/>
        </w:rPr>
        <w:t xml:space="preserve"> lún của lồng vào thân đốt được tính như sau: chiều cao liên thân đốt tầng hàn xương sau mổ sớm trừ cho chiều cao liên thân đốt tầng hàn xương lần tái khám, nếu giá trị này lớn hơn 3mm được xem như là có lún. Các thông số này được đo trên XQ cột sống cổ nghiêng.</w:t>
      </w:r>
    </w:p>
    <w:p w:rsidR="00FC38CE" w:rsidRPr="00CF03A9" w:rsidRDefault="00FC38CE" w:rsidP="00B82C1C">
      <w:pPr>
        <w:pStyle w:val="ListParagraph"/>
        <w:numPr>
          <w:ilvl w:val="0"/>
          <w:numId w:val="11"/>
        </w:numPr>
        <w:spacing w:before="60" w:after="0" w:line="240" w:lineRule="auto"/>
        <w:ind w:left="0" w:firstLine="360"/>
        <w:rPr>
          <w:rFonts w:ascii="Times New Roman" w:eastAsia="Times New Roman" w:hAnsi="Times New Roman" w:cs="Times New Roman"/>
          <w:sz w:val="24"/>
          <w:szCs w:val="24"/>
        </w:rPr>
      </w:pPr>
      <w:r w:rsidRPr="00CF03A9">
        <w:rPr>
          <w:rFonts w:ascii="Times New Roman" w:eastAsia="Times New Roman" w:hAnsi="Times New Roman" w:cs="Times New Roman"/>
          <w:b/>
          <w:sz w:val="24"/>
          <w:szCs w:val="24"/>
        </w:rPr>
        <w:t>Vật liệu đã sử dụng</w:t>
      </w:r>
      <w:r w:rsidRPr="00CF03A9">
        <w:rPr>
          <w:rFonts w:ascii="Times New Roman" w:eastAsia="Times New Roman" w:hAnsi="Times New Roman" w:cs="Times New Roman"/>
          <w:sz w:val="24"/>
          <w:szCs w:val="24"/>
        </w:rPr>
        <w:t>: lồng PEEK: lồng Ayers Rock (Spineway) và lồng Fidji (Zimmer). Xương ghép: xương đồng loại của Ngân hàng Mô – Bộ môn Mô Phôi – Đại học Y Khoa Phạm Ngọc Thạch.</w:t>
      </w:r>
    </w:p>
    <w:p w:rsidR="00DE3617" w:rsidRPr="00DE3617" w:rsidRDefault="00FC38CE" w:rsidP="00B82C1C">
      <w:pPr>
        <w:pStyle w:val="ListParagraph"/>
        <w:numPr>
          <w:ilvl w:val="0"/>
          <w:numId w:val="11"/>
        </w:numPr>
        <w:spacing w:before="60" w:after="0" w:line="240" w:lineRule="auto"/>
        <w:rPr>
          <w:rFonts w:eastAsiaTheme="majorEastAsia" w:cstheme="majorBidi"/>
          <w:b/>
          <w:caps/>
          <w:sz w:val="24"/>
          <w:szCs w:val="24"/>
        </w:rPr>
      </w:pPr>
      <w:r w:rsidRPr="00544454">
        <w:rPr>
          <w:rFonts w:ascii="Times New Roman" w:eastAsia="Times New Roman" w:hAnsi="Times New Roman" w:cs="Times New Roman"/>
          <w:b/>
          <w:sz w:val="24"/>
          <w:szCs w:val="24"/>
        </w:rPr>
        <w:t>Phương tiện đo</w:t>
      </w:r>
      <w:r w:rsidR="00544454" w:rsidRPr="00544454">
        <w:rPr>
          <w:rFonts w:ascii="Times New Roman" w:eastAsia="Times New Roman" w:hAnsi="Times New Roman" w:cs="Times New Roman"/>
          <w:b/>
          <w:sz w:val="24"/>
          <w:szCs w:val="24"/>
        </w:rPr>
        <w:t xml:space="preserve">: </w:t>
      </w:r>
      <w:r w:rsidRPr="00544454">
        <w:rPr>
          <w:rFonts w:ascii="Times New Roman" w:eastAsia="Times New Roman" w:hAnsi="Times New Roman" w:cs="Times New Roman"/>
          <w:sz w:val="24"/>
          <w:szCs w:val="24"/>
        </w:rPr>
        <w:t>Các thông số trên XQ được đo bằng phần mềm Surgimap Spine.</w:t>
      </w:r>
    </w:p>
    <w:p w:rsidR="00FC38CE" w:rsidRPr="00544454" w:rsidRDefault="00FC38CE" w:rsidP="00B82C1C">
      <w:pPr>
        <w:pStyle w:val="ListParagraph"/>
        <w:numPr>
          <w:ilvl w:val="0"/>
          <w:numId w:val="11"/>
        </w:numPr>
        <w:spacing w:before="60" w:after="0" w:line="240" w:lineRule="auto"/>
        <w:rPr>
          <w:rFonts w:eastAsiaTheme="majorEastAsia" w:cstheme="majorBidi"/>
          <w:b/>
          <w:caps/>
          <w:sz w:val="24"/>
          <w:szCs w:val="24"/>
        </w:rPr>
      </w:pPr>
    </w:p>
    <w:p w:rsidR="00FC38CE" w:rsidRDefault="00FC38CE" w:rsidP="00B82C1C">
      <w:pPr>
        <w:pStyle w:val="Heading1"/>
        <w:spacing w:line="240" w:lineRule="auto"/>
        <w:contextualSpacing/>
      </w:pPr>
      <w:bookmarkStart w:id="5" w:name="_Toc399633799"/>
      <w:r w:rsidRPr="00332C91">
        <w:t>KẾT QUẢ</w:t>
      </w:r>
      <w:bookmarkEnd w:id="5"/>
    </w:p>
    <w:p w:rsidR="00FC38CE" w:rsidRPr="00071158" w:rsidRDefault="00FC38CE" w:rsidP="00B82C1C">
      <w:pPr>
        <w:spacing w:after="0" w:line="240" w:lineRule="auto"/>
        <w:contextualSpacing/>
        <w:rPr>
          <w:b/>
          <w:sz w:val="24"/>
          <w:szCs w:val="24"/>
        </w:rPr>
      </w:pPr>
      <w:r w:rsidRPr="00071158">
        <w:rPr>
          <w:b/>
          <w:sz w:val="24"/>
          <w:szCs w:val="24"/>
        </w:rPr>
        <w:t>Kết quả lâm sàng</w:t>
      </w:r>
    </w:p>
    <w:p w:rsidR="00FC38CE" w:rsidRPr="00332C91" w:rsidRDefault="00071158" w:rsidP="00B82C1C">
      <w:pPr>
        <w:spacing w:after="0" w:line="240" w:lineRule="auto"/>
        <w:ind w:firstLine="720"/>
        <w:contextualSpacing/>
        <w:rPr>
          <w:sz w:val="24"/>
          <w:szCs w:val="24"/>
        </w:rPr>
      </w:pPr>
      <w:r w:rsidRPr="00071158">
        <w:rPr>
          <w:sz w:val="24"/>
        </w:rPr>
        <w:t>N</w:t>
      </w:r>
      <w:r w:rsidR="00FC38CE" w:rsidRPr="00310564">
        <w:rPr>
          <w:sz w:val="24"/>
        </w:rPr>
        <w:t>ghiên cứu hồi cứu 41 trường hợp, trong đó tuổi trung bình là 49,44 tuổi, trẻ nhất 31, lớn nhất 69</w:t>
      </w:r>
      <w:r w:rsidRPr="00071158">
        <w:rPr>
          <w:sz w:val="24"/>
        </w:rPr>
        <w:t>. N</w:t>
      </w:r>
      <w:r w:rsidR="00FC38CE" w:rsidRPr="00310564">
        <w:rPr>
          <w:sz w:val="24"/>
        </w:rPr>
        <w:t>am 21 trường hợp, nữ 20 trường hợp</w:t>
      </w:r>
      <w:bookmarkStart w:id="6" w:name="_Toc399633803"/>
      <w:r w:rsidR="00FC38CE" w:rsidRPr="00310564">
        <w:rPr>
          <w:sz w:val="24"/>
        </w:rPr>
        <w:t xml:space="preserve">. </w:t>
      </w:r>
      <w:r w:rsidR="00FC38CE" w:rsidRPr="00310564">
        <w:rPr>
          <w:sz w:val="24"/>
          <w:szCs w:val="24"/>
        </w:rPr>
        <w:t xml:space="preserve">Thời gian theo dõi trung bình là 35,5 tháng, ngắn nhất 12 tháng, dài nhất 62 tháng. </w:t>
      </w:r>
      <w:r w:rsidR="00FC38CE" w:rsidRPr="001731BD">
        <w:rPr>
          <w:sz w:val="24"/>
        </w:rPr>
        <w:t>Phân bố bệnh theo số tầng thoát vị</w:t>
      </w:r>
      <w:bookmarkEnd w:id="6"/>
      <w:r w:rsidR="00FC38CE" w:rsidRPr="001731BD">
        <w:rPr>
          <w:sz w:val="24"/>
        </w:rPr>
        <w:t>:</w:t>
      </w:r>
      <w:r w:rsidRPr="001731BD">
        <w:rPr>
          <w:sz w:val="24"/>
        </w:rPr>
        <w:t xml:space="preserve">20 bệnh nhân </w:t>
      </w:r>
      <w:r w:rsidR="00FC38CE" w:rsidRPr="001731BD">
        <w:rPr>
          <w:sz w:val="24"/>
        </w:rPr>
        <w:t xml:space="preserve">thoát vị một tầng (48,8%), 13 bệnh nhân thoát vị hai tầng (31,7%), 8 bệnh nhân thoát vị ba tầng (19,5%). </w:t>
      </w:r>
      <w:bookmarkStart w:id="7" w:name="_Toc399633804"/>
      <w:r w:rsidR="00FC38CE" w:rsidRPr="00332C91">
        <w:rPr>
          <w:sz w:val="24"/>
        </w:rPr>
        <w:t>Phân bố theo vị trí thoát vị</w:t>
      </w:r>
      <w:bookmarkEnd w:id="7"/>
      <w:r w:rsidR="00FC38CE" w:rsidRPr="00FF7985">
        <w:rPr>
          <w:sz w:val="24"/>
        </w:rPr>
        <w:t xml:space="preserve">: </w:t>
      </w:r>
      <w:r w:rsidR="00FC38CE" w:rsidRPr="00FF7985">
        <w:rPr>
          <w:rFonts w:ascii="Times New Roman" w:hAnsi="Times New Roman" w:cs="Times New Roman"/>
          <w:sz w:val="24"/>
        </w:rPr>
        <w:t>41 bệnh nhân có 70 vị trí thoát vị</w:t>
      </w:r>
      <w:r w:rsidR="00FC38CE">
        <w:rPr>
          <w:rFonts w:ascii="Times New Roman" w:hAnsi="Times New Roman" w:cs="Times New Roman"/>
          <w:sz w:val="24"/>
        </w:rPr>
        <w:t>:</w:t>
      </w:r>
      <w:r w:rsidR="00FC38CE" w:rsidRPr="005956DB">
        <w:rPr>
          <w:rFonts w:ascii="Times New Roman" w:hAnsi="Times New Roman" w:cs="Times New Roman"/>
          <w:sz w:val="24"/>
        </w:rPr>
        <w:t>20 trường hợp (40%) ở C5-6, 24 (34,3%) trườ</w:t>
      </w:r>
      <w:r w:rsidR="00FC38CE">
        <w:rPr>
          <w:rFonts w:ascii="Times New Roman" w:hAnsi="Times New Roman" w:cs="Times New Roman"/>
          <w:sz w:val="24"/>
        </w:rPr>
        <w:t>ng hợp</w:t>
      </w:r>
      <w:r w:rsidR="00FC38CE" w:rsidRPr="005956DB">
        <w:rPr>
          <w:rFonts w:ascii="Times New Roman" w:hAnsi="Times New Roman" w:cs="Times New Roman"/>
          <w:sz w:val="24"/>
        </w:rPr>
        <w:t xml:space="preserve"> ở </w:t>
      </w:r>
      <w:r w:rsidR="00FC38CE" w:rsidRPr="00FF7985">
        <w:rPr>
          <w:rFonts w:ascii="Times New Roman" w:hAnsi="Times New Roman" w:cs="Times New Roman"/>
          <w:sz w:val="24"/>
        </w:rPr>
        <w:t xml:space="preserve">C4-5, </w:t>
      </w:r>
      <w:r w:rsidR="00FC38CE" w:rsidRPr="005956DB">
        <w:rPr>
          <w:rFonts w:ascii="Times New Roman" w:hAnsi="Times New Roman" w:cs="Times New Roman"/>
          <w:sz w:val="24"/>
        </w:rPr>
        <w:t>16 trường hợp (22,9%) ở</w:t>
      </w:r>
      <w:r w:rsidR="00FC38CE" w:rsidRPr="00FF7985">
        <w:rPr>
          <w:rFonts w:ascii="Times New Roman" w:hAnsi="Times New Roman" w:cs="Times New Roman"/>
          <w:sz w:val="24"/>
        </w:rPr>
        <w:t xml:space="preserve"> C</w:t>
      </w:r>
      <w:r w:rsidR="00FC38CE" w:rsidRPr="005956DB">
        <w:rPr>
          <w:rFonts w:ascii="Times New Roman" w:hAnsi="Times New Roman" w:cs="Times New Roman"/>
          <w:sz w:val="24"/>
        </w:rPr>
        <w:t xml:space="preserve">3-4, 2 trường hợp (2,8%) ở C6-7. </w:t>
      </w:r>
      <w:bookmarkStart w:id="8" w:name="_Toc399633805"/>
      <w:r w:rsidR="00FC38CE" w:rsidRPr="00CF03A9">
        <w:rPr>
          <w:sz w:val="24"/>
        </w:rPr>
        <w:t>Phân bố theo bệnh lý tủy và rễ</w:t>
      </w:r>
      <w:bookmarkEnd w:id="8"/>
      <w:r w:rsidR="00FC38CE" w:rsidRPr="00CF03A9">
        <w:rPr>
          <w:sz w:val="24"/>
        </w:rPr>
        <w:t>: tủy 36 (88%), tủy + rễ: 5 (12%)</w:t>
      </w:r>
      <w:r w:rsidR="00FC38CE" w:rsidRPr="005956DB">
        <w:rPr>
          <w:b/>
          <w:sz w:val="24"/>
        </w:rPr>
        <w:t>.</w:t>
      </w:r>
      <w:r w:rsidR="00FC38CE" w:rsidRPr="005956DB">
        <w:rPr>
          <w:sz w:val="24"/>
          <w:szCs w:val="24"/>
        </w:rPr>
        <w:t>Thời gian mổ n</w:t>
      </w:r>
      <w:r w:rsidR="00FC38CE" w:rsidRPr="00332C91">
        <w:rPr>
          <w:sz w:val="24"/>
          <w:szCs w:val="24"/>
        </w:rPr>
        <w:t>gắn nhất là 60 phút, dài nhất là 190 phút, trung bình là 115,12phút.</w:t>
      </w:r>
      <w:r w:rsidR="00FC38CE" w:rsidRPr="005956DB">
        <w:rPr>
          <w:sz w:val="24"/>
          <w:szCs w:val="24"/>
        </w:rPr>
        <w:t xml:space="preserve"> Lượng máu mấ</w:t>
      </w:r>
      <w:r w:rsidR="00FC38CE">
        <w:rPr>
          <w:sz w:val="24"/>
          <w:szCs w:val="24"/>
        </w:rPr>
        <w:t xml:space="preserve">t </w:t>
      </w:r>
      <w:r w:rsidR="00FC38CE" w:rsidRPr="005956DB">
        <w:rPr>
          <w:sz w:val="24"/>
          <w:szCs w:val="24"/>
        </w:rPr>
        <w:t>í</w:t>
      </w:r>
      <w:r w:rsidR="00FC38CE" w:rsidRPr="00332C91">
        <w:rPr>
          <w:sz w:val="24"/>
          <w:szCs w:val="24"/>
        </w:rPr>
        <w:t>t nhất là 30 ml, nhiều nhất là 300ml, trung bình là 100,</w:t>
      </w:r>
      <w:r w:rsidR="00FC38CE" w:rsidRPr="005956DB">
        <w:rPr>
          <w:sz w:val="24"/>
          <w:szCs w:val="24"/>
        </w:rPr>
        <w:t>5</w:t>
      </w:r>
      <w:r w:rsidR="00FC38CE" w:rsidRPr="00332C91">
        <w:rPr>
          <w:sz w:val="24"/>
          <w:szCs w:val="24"/>
        </w:rPr>
        <w:t xml:space="preserve">ml. </w:t>
      </w:r>
      <w:r w:rsidR="00FC38CE" w:rsidRPr="00253818">
        <w:rPr>
          <w:sz w:val="24"/>
          <w:szCs w:val="24"/>
        </w:rPr>
        <w:t>VAS cổ trung bình trước mổ là7,07 ± 2,38, sau mổ trung bình là 0,66 ± 0,76</w:t>
      </w:r>
      <w:r w:rsidR="00FC38CE">
        <w:rPr>
          <w:sz w:val="24"/>
          <w:szCs w:val="24"/>
        </w:rPr>
        <w:t xml:space="preserve"> (p</w:t>
      </w:r>
      <w:r w:rsidR="00FC38CE" w:rsidRPr="00253818">
        <w:rPr>
          <w:sz w:val="24"/>
          <w:szCs w:val="24"/>
        </w:rPr>
        <w:t>&lt; 0,05)</w:t>
      </w:r>
      <w:r w:rsidR="00FC38CE" w:rsidRPr="005956DB">
        <w:rPr>
          <w:sz w:val="24"/>
          <w:szCs w:val="24"/>
        </w:rPr>
        <w:t xml:space="preserve">. </w:t>
      </w:r>
      <w:r w:rsidR="00FC38CE" w:rsidRPr="006C039C">
        <w:rPr>
          <w:sz w:val="24"/>
          <w:szCs w:val="24"/>
        </w:rPr>
        <w:t xml:space="preserve">VAS tay trung bình trước mổ là 5,54 ± 3,218, trung bình sau mổ là 5,7 </w:t>
      </w:r>
      <w:r w:rsidR="00FC38CE" w:rsidRPr="006C039C">
        <w:rPr>
          <w:rFonts w:ascii="Times New Roman" w:hAnsi="Times New Roman" w:cs="Times New Roman"/>
          <w:sz w:val="24"/>
          <w:szCs w:val="24"/>
        </w:rPr>
        <w:t xml:space="preserve">± 3 (p&lt;0,05). </w:t>
      </w:r>
      <w:r w:rsidR="00FC38CE" w:rsidRPr="00253818">
        <w:rPr>
          <w:rFonts w:ascii="Times New Roman" w:hAnsi="Times New Roman" w:cs="Times New Roman"/>
          <w:sz w:val="24"/>
          <w:szCs w:val="24"/>
        </w:rPr>
        <w:t>Điểm JOA trung bình trước mổ là 10,95 ± 2,48, đ</w:t>
      </w:r>
      <w:r w:rsidR="00FC38CE" w:rsidRPr="00332C91">
        <w:rPr>
          <w:rFonts w:ascii="Times New Roman" w:hAnsi="Times New Roman" w:cs="Times New Roman"/>
          <w:sz w:val="24"/>
          <w:szCs w:val="24"/>
        </w:rPr>
        <w:t xml:space="preserve">iểm JOA </w:t>
      </w:r>
      <w:r w:rsidR="00FC38CE" w:rsidRPr="00253818">
        <w:rPr>
          <w:rFonts w:ascii="Times New Roman" w:hAnsi="Times New Roman" w:cs="Times New Roman"/>
          <w:sz w:val="24"/>
          <w:szCs w:val="24"/>
        </w:rPr>
        <w:t xml:space="preserve">trung bình </w:t>
      </w:r>
      <w:r w:rsidR="00FC38CE" w:rsidRPr="00332C91">
        <w:rPr>
          <w:rFonts w:ascii="Times New Roman" w:hAnsi="Times New Roman" w:cs="Times New Roman"/>
          <w:sz w:val="24"/>
          <w:szCs w:val="24"/>
        </w:rPr>
        <w:t>lần khám cuối 15,63 ± 1,42. (p&lt;0,01).</w:t>
      </w:r>
      <w:r w:rsidR="00FC38CE" w:rsidRPr="00332C91">
        <w:rPr>
          <w:sz w:val="24"/>
          <w:szCs w:val="24"/>
        </w:rPr>
        <w:t xml:space="preserve">Tỉ lệ phục hồi trong lô nghiên cứu của chúng tôi kết quả rất tốt là </w:t>
      </w:r>
      <w:r w:rsidR="00FC38CE" w:rsidRPr="006C039C">
        <w:rPr>
          <w:sz w:val="24"/>
          <w:szCs w:val="24"/>
        </w:rPr>
        <w:t>61</w:t>
      </w:r>
      <w:r w:rsidR="00FC38CE" w:rsidRPr="00332C91">
        <w:rPr>
          <w:sz w:val="24"/>
          <w:szCs w:val="24"/>
        </w:rPr>
        <w:t>%,</w:t>
      </w:r>
      <w:r w:rsidR="00FC38CE" w:rsidRPr="006C039C">
        <w:rPr>
          <w:sz w:val="24"/>
          <w:szCs w:val="24"/>
        </w:rPr>
        <w:t xml:space="preserve"> tốt 34,1%, trung bình 4,9%, kém 0%,</w:t>
      </w:r>
      <w:r w:rsidR="00FC38CE" w:rsidRPr="00332C91">
        <w:rPr>
          <w:sz w:val="24"/>
          <w:szCs w:val="24"/>
        </w:rPr>
        <w:t xml:space="preserve"> 14 trường hợp phục hồi hoàn toàn 100%, tỉ lệ phục hồi trung bình là 79,33 %.</w:t>
      </w:r>
    </w:p>
    <w:p w:rsidR="00FC38CE" w:rsidRPr="00106C70" w:rsidRDefault="00FC38CE" w:rsidP="00B82C1C">
      <w:pPr>
        <w:pStyle w:val="Heading2"/>
        <w:contextualSpacing/>
      </w:pPr>
      <w:bookmarkStart w:id="9" w:name="_Toc399633812"/>
      <w:r w:rsidRPr="00106C70">
        <w:t>Kết quả XQuang</w:t>
      </w:r>
      <w:bookmarkEnd w:id="9"/>
    </w:p>
    <w:p w:rsidR="00FC38CE" w:rsidRPr="00332C91" w:rsidRDefault="00FC38CE" w:rsidP="00B82C1C">
      <w:pPr>
        <w:pStyle w:val="Heading3"/>
        <w:spacing w:line="240" w:lineRule="auto"/>
        <w:contextualSpacing/>
        <w:rPr>
          <w:sz w:val="24"/>
          <w:lang w:val="vi-VN"/>
        </w:rPr>
      </w:pPr>
      <w:bookmarkStart w:id="10" w:name="_Toc399633813"/>
      <w:r w:rsidRPr="00332C91">
        <w:rPr>
          <w:sz w:val="24"/>
          <w:lang w:val="vi-VN"/>
        </w:rPr>
        <w:t>Kết quả liền xương</w:t>
      </w:r>
      <w:bookmarkEnd w:id="10"/>
    </w:p>
    <w:p w:rsidR="00FC38CE" w:rsidRDefault="00FC38CE" w:rsidP="00B82C1C">
      <w:pPr>
        <w:spacing w:line="240" w:lineRule="auto"/>
        <w:contextualSpacing/>
        <w:rPr>
          <w:i/>
          <w:sz w:val="24"/>
          <w:szCs w:val="24"/>
          <w:u w:val="single"/>
        </w:rPr>
      </w:pPr>
      <w:r w:rsidRPr="00332C91">
        <w:rPr>
          <w:i/>
          <w:sz w:val="24"/>
          <w:szCs w:val="24"/>
          <w:u w:val="single"/>
        </w:rPr>
        <w:t>Theo số tầng hàn xương:</w:t>
      </w:r>
    </w:p>
    <w:p w:rsidR="00DE3617" w:rsidRDefault="00DE3617" w:rsidP="00B82C1C">
      <w:pPr>
        <w:spacing w:line="240" w:lineRule="auto"/>
        <w:contextualSpacing/>
        <w:rPr>
          <w:sz w:val="24"/>
          <w:szCs w:val="24"/>
        </w:rPr>
      </w:pPr>
    </w:p>
    <w:tbl>
      <w:tblPr>
        <w:tblStyle w:val="TableGrid"/>
        <w:tblW w:w="0" w:type="auto"/>
        <w:tblInd w:w="-5" w:type="dxa"/>
        <w:tblLook w:val="04A0" w:firstRow="1" w:lastRow="0" w:firstColumn="1" w:lastColumn="0" w:noHBand="0" w:noVBand="1"/>
      </w:tblPr>
      <w:tblGrid>
        <w:gridCol w:w="2083"/>
        <w:gridCol w:w="903"/>
        <w:gridCol w:w="976"/>
      </w:tblGrid>
      <w:tr w:rsidR="00FC38CE" w:rsidRPr="00CF03A9" w:rsidTr="00CF03A9">
        <w:tc>
          <w:tcPr>
            <w:tcW w:w="0" w:type="auto"/>
          </w:tcPr>
          <w:p w:rsidR="00FC38CE" w:rsidRPr="00CF03A9" w:rsidRDefault="00FC38CE" w:rsidP="00B82C1C">
            <w:pPr>
              <w:spacing w:line="240" w:lineRule="auto"/>
              <w:ind w:left="313"/>
              <w:contextualSpacing/>
              <w:rPr>
                <w:b/>
                <w:sz w:val="24"/>
                <w:szCs w:val="24"/>
              </w:rPr>
            </w:pPr>
            <w:r w:rsidRPr="00CF03A9">
              <w:rPr>
                <w:b/>
                <w:sz w:val="24"/>
                <w:szCs w:val="24"/>
              </w:rPr>
              <w:t>Thoát vị 1 tầng</w:t>
            </w:r>
          </w:p>
        </w:tc>
        <w:tc>
          <w:tcPr>
            <w:tcW w:w="0" w:type="auto"/>
          </w:tcPr>
          <w:p w:rsidR="00FC38CE" w:rsidRPr="00CF03A9" w:rsidRDefault="00FC38CE" w:rsidP="00B82C1C">
            <w:pPr>
              <w:spacing w:line="240" w:lineRule="auto"/>
              <w:contextualSpacing/>
              <w:jc w:val="center"/>
              <w:rPr>
                <w:b/>
                <w:sz w:val="24"/>
                <w:szCs w:val="24"/>
              </w:rPr>
            </w:pPr>
            <w:r w:rsidRPr="00CF03A9">
              <w:rPr>
                <w:b/>
                <w:sz w:val="24"/>
                <w:szCs w:val="24"/>
              </w:rPr>
              <w:t>Tần số</w:t>
            </w:r>
          </w:p>
        </w:tc>
        <w:tc>
          <w:tcPr>
            <w:tcW w:w="0" w:type="auto"/>
          </w:tcPr>
          <w:p w:rsidR="00FC38CE" w:rsidRPr="00CF03A9" w:rsidRDefault="00FC38CE" w:rsidP="00B82C1C">
            <w:pPr>
              <w:spacing w:line="240" w:lineRule="auto"/>
              <w:contextualSpacing/>
              <w:jc w:val="center"/>
              <w:rPr>
                <w:b/>
                <w:sz w:val="24"/>
                <w:szCs w:val="24"/>
              </w:rPr>
            </w:pPr>
            <w:r w:rsidRPr="00CF03A9">
              <w:rPr>
                <w:b/>
                <w:sz w:val="24"/>
                <w:szCs w:val="24"/>
              </w:rPr>
              <w:t>Tỉ lệ %</w:t>
            </w:r>
          </w:p>
        </w:tc>
      </w:tr>
      <w:tr w:rsidR="00FC38CE" w:rsidRPr="00CF03A9" w:rsidTr="00CF03A9">
        <w:tc>
          <w:tcPr>
            <w:tcW w:w="0" w:type="auto"/>
          </w:tcPr>
          <w:p w:rsidR="00FC38CE" w:rsidRPr="00CF03A9" w:rsidRDefault="00FC38CE" w:rsidP="00B82C1C">
            <w:pPr>
              <w:spacing w:line="240" w:lineRule="auto"/>
              <w:ind w:left="313"/>
              <w:contextualSpacing/>
              <w:rPr>
                <w:b/>
                <w:sz w:val="24"/>
                <w:szCs w:val="24"/>
              </w:rPr>
            </w:pPr>
            <w:r w:rsidRPr="00CF03A9">
              <w:rPr>
                <w:b/>
                <w:sz w:val="24"/>
                <w:szCs w:val="24"/>
              </w:rPr>
              <w:t>Liền xương</w:t>
            </w:r>
          </w:p>
        </w:tc>
        <w:tc>
          <w:tcPr>
            <w:tcW w:w="0" w:type="auto"/>
          </w:tcPr>
          <w:p w:rsidR="00FC38CE" w:rsidRPr="00CF03A9" w:rsidRDefault="00FC38CE" w:rsidP="00B82C1C">
            <w:pPr>
              <w:spacing w:line="240" w:lineRule="auto"/>
              <w:contextualSpacing/>
              <w:jc w:val="center"/>
              <w:rPr>
                <w:sz w:val="24"/>
                <w:szCs w:val="24"/>
              </w:rPr>
            </w:pPr>
            <w:r w:rsidRPr="00CF03A9">
              <w:rPr>
                <w:sz w:val="24"/>
                <w:szCs w:val="24"/>
              </w:rPr>
              <w:t>19</w:t>
            </w:r>
          </w:p>
        </w:tc>
        <w:tc>
          <w:tcPr>
            <w:tcW w:w="0" w:type="auto"/>
          </w:tcPr>
          <w:p w:rsidR="00FC38CE" w:rsidRPr="00CF03A9" w:rsidRDefault="00FC38CE" w:rsidP="00B82C1C">
            <w:pPr>
              <w:spacing w:line="240" w:lineRule="auto"/>
              <w:contextualSpacing/>
              <w:jc w:val="center"/>
              <w:rPr>
                <w:sz w:val="24"/>
                <w:szCs w:val="24"/>
              </w:rPr>
            </w:pPr>
            <w:r w:rsidRPr="00CF03A9">
              <w:rPr>
                <w:sz w:val="24"/>
                <w:szCs w:val="24"/>
              </w:rPr>
              <w:t>95%</w:t>
            </w:r>
          </w:p>
        </w:tc>
      </w:tr>
      <w:tr w:rsidR="00FC38CE" w:rsidRPr="00CF03A9" w:rsidTr="00CF03A9">
        <w:tc>
          <w:tcPr>
            <w:tcW w:w="0" w:type="auto"/>
          </w:tcPr>
          <w:p w:rsidR="00FC38CE" w:rsidRPr="00CF03A9" w:rsidRDefault="00FC38CE" w:rsidP="00B82C1C">
            <w:pPr>
              <w:spacing w:line="240" w:lineRule="auto"/>
              <w:ind w:left="313"/>
              <w:contextualSpacing/>
              <w:rPr>
                <w:b/>
                <w:sz w:val="24"/>
                <w:szCs w:val="24"/>
              </w:rPr>
            </w:pPr>
            <w:r w:rsidRPr="00CF03A9">
              <w:rPr>
                <w:b/>
                <w:sz w:val="24"/>
                <w:szCs w:val="24"/>
              </w:rPr>
              <w:t>Không liền</w:t>
            </w:r>
          </w:p>
        </w:tc>
        <w:tc>
          <w:tcPr>
            <w:tcW w:w="0" w:type="auto"/>
          </w:tcPr>
          <w:p w:rsidR="00FC38CE" w:rsidRPr="00CF03A9" w:rsidRDefault="00FC38CE" w:rsidP="00B82C1C">
            <w:pPr>
              <w:spacing w:line="240" w:lineRule="auto"/>
              <w:contextualSpacing/>
              <w:jc w:val="center"/>
              <w:rPr>
                <w:sz w:val="24"/>
                <w:szCs w:val="24"/>
              </w:rPr>
            </w:pPr>
            <w:r w:rsidRPr="00CF03A9">
              <w:rPr>
                <w:sz w:val="24"/>
                <w:szCs w:val="24"/>
              </w:rPr>
              <w:t>1</w:t>
            </w:r>
          </w:p>
        </w:tc>
        <w:tc>
          <w:tcPr>
            <w:tcW w:w="0" w:type="auto"/>
          </w:tcPr>
          <w:p w:rsidR="00FC38CE" w:rsidRPr="00CF03A9" w:rsidRDefault="00FC38CE" w:rsidP="00B82C1C">
            <w:pPr>
              <w:spacing w:line="240" w:lineRule="auto"/>
              <w:contextualSpacing/>
              <w:jc w:val="center"/>
              <w:rPr>
                <w:sz w:val="24"/>
                <w:szCs w:val="24"/>
              </w:rPr>
            </w:pPr>
            <w:r w:rsidRPr="00CF03A9">
              <w:rPr>
                <w:sz w:val="24"/>
                <w:szCs w:val="24"/>
              </w:rPr>
              <w:t>5%</w:t>
            </w:r>
          </w:p>
        </w:tc>
      </w:tr>
      <w:tr w:rsidR="00FC38CE" w:rsidRPr="00CF03A9" w:rsidTr="00CF03A9">
        <w:tc>
          <w:tcPr>
            <w:tcW w:w="0" w:type="auto"/>
          </w:tcPr>
          <w:p w:rsidR="00FC38CE" w:rsidRPr="00CF03A9" w:rsidRDefault="00FC38CE" w:rsidP="00B82C1C">
            <w:pPr>
              <w:spacing w:line="240" w:lineRule="auto"/>
              <w:ind w:left="313"/>
              <w:contextualSpacing/>
              <w:rPr>
                <w:b/>
                <w:sz w:val="24"/>
                <w:szCs w:val="24"/>
              </w:rPr>
            </w:pPr>
            <w:r w:rsidRPr="00CF03A9">
              <w:rPr>
                <w:b/>
                <w:sz w:val="24"/>
                <w:szCs w:val="24"/>
              </w:rPr>
              <w:t>Tổng số</w:t>
            </w:r>
          </w:p>
        </w:tc>
        <w:tc>
          <w:tcPr>
            <w:tcW w:w="0" w:type="auto"/>
          </w:tcPr>
          <w:p w:rsidR="00FC38CE" w:rsidRPr="00CF03A9" w:rsidRDefault="00FC38CE" w:rsidP="00B82C1C">
            <w:pPr>
              <w:spacing w:line="240" w:lineRule="auto"/>
              <w:contextualSpacing/>
              <w:jc w:val="center"/>
              <w:rPr>
                <w:sz w:val="24"/>
                <w:szCs w:val="24"/>
              </w:rPr>
            </w:pPr>
            <w:r w:rsidRPr="00CF03A9">
              <w:rPr>
                <w:sz w:val="24"/>
                <w:szCs w:val="24"/>
              </w:rPr>
              <w:t>20</w:t>
            </w:r>
          </w:p>
        </w:tc>
        <w:tc>
          <w:tcPr>
            <w:tcW w:w="0" w:type="auto"/>
          </w:tcPr>
          <w:p w:rsidR="00FC38CE" w:rsidRPr="00CF03A9" w:rsidRDefault="00FC38CE" w:rsidP="00B82C1C">
            <w:pPr>
              <w:spacing w:line="240" w:lineRule="auto"/>
              <w:contextualSpacing/>
              <w:jc w:val="center"/>
              <w:rPr>
                <w:sz w:val="24"/>
                <w:szCs w:val="24"/>
              </w:rPr>
            </w:pPr>
            <w:r w:rsidRPr="00CF03A9">
              <w:rPr>
                <w:sz w:val="24"/>
                <w:szCs w:val="24"/>
              </w:rPr>
              <w:t>100%</w:t>
            </w:r>
          </w:p>
        </w:tc>
      </w:tr>
      <w:tr w:rsidR="00DE3617" w:rsidRPr="00CF03A9" w:rsidTr="00CF03A9">
        <w:tc>
          <w:tcPr>
            <w:tcW w:w="0" w:type="auto"/>
          </w:tcPr>
          <w:p w:rsidR="00DE3617" w:rsidRPr="00CF03A9" w:rsidRDefault="00DE3617" w:rsidP="00B82C1C">
            <w:pPr>
              <w:spacing w:line="240" w:lineRule="auto"/>
              <w:ind w:left="313"/>
              <w:contextualSpacing/>
              <w:rPr>
                <w:b/>
                <w:sz w:val="24"/>
                <w:szCs w:val="24"/>
              </w:rPr>
            </w:pPr>
          </w:p>
        </w:tc>
        <w:tc>
          <w:tcPr>
            <w:tcW w:w="0" w:type="auto"/>
          </w:tcPr>
          <w:p w:rsidR="00DE3617" w:rsidRPr="00CF03A9" w:rsidRDefault="00DE3617" w:rsidP="00B82C1C">
            <w:pPr>
              <w:spacing w:line="240" w:lineRule="auto"/>
              <w:contextualSpacing/>
              <w:jc w:val="center"/>
              <w:rPr>
                <w:sz w:val="24"/>
                <w:szCs w:val="24"/>
              </w:rPr>
            </w:pPr>
          </w:p>
        </w:tc>
        <w:tc>
          <w:tcPr>
            <w:tcW w:w="0" w:type="auto"/>
          </w:tcPr>
          <w:p w:rsidR="00DE3617" w:rsidRPr="00CF03A9" w:rsidRDefault="00DE3617" w:rsidP="00B82C1C">
            <w:pPr>
              <w:spacing w:line="240" w:lineRule="auto"/>
              <w:contextualSpacing/>
              <w:jc w:val="center"/>
              <w:rPr>
                <w:sz w:val="24"/>
                <w:szCs w:val="24"/>
              </w:rPr>
            </w:pPr>
          </w:p>
        </w:tc>
      </w:tr>
    </w:tbl>
    <w:p w:rsidR="00FC38CE" w:rsidRPr="00332C91" w:rsidRDefault="00FC38CE" w:rsidP="00B82C1C">
      <w:pPr>
        <w:spacing w:line="240" w:lineRule="auto"/>
        <w:contextualSpacing/>
        <w:rPr>
          <w:i/>
          <w:sz w:val="24"/>
          <w:szCs w:val="24"/>
          <w:u w:val="single"/>
        </w:rPr>
      </w:pPr>
      <w:r w:rsidRPr="00332C91">
        <w:rPr>
          <w:i/>
          <w:sz w:val="24"/>
          <w:szCs w:val="24"/>
          <w:u w:val="single"/>
        </w:rPr>
        <w:t>Kết quả liền xương tính theo số lượng bệnh nhân:</w:t>
      </w:r>
    </w:p>
    <w:tbl>
      <w:tblPr>
        <w:tblStyle w:val="TableGrid"/>
        <w:tblW w:w="0" w:type="auto"/>
        <w:tblLook w:val="04A0" w:firstRow="1" w:lastRow="0" w:firstColumn="1" w:lastColumn="0" w:noHBand="0" w:noVBand="1"/>
      </w:tblPr>
      <w:tblGrid>
        <w:gridCol w:w="1023"/>
        <w:gridCol w:w="1394"/>
        <w:gridCol w:w="1343"/>
        <w:gridCol w:w="1394"/>
        <w:gridCol w:w="1343"/>
      </w:tblGrid>
      <w:tr w:rsidR="00FC38CE" w:rsidRPr="00332C91" w:rsidTr="005956DB">
        <w:tc>
          <w:tcPr>
            <w:tcW w:w="0" w:type="auto"/>
            <w:vMerge w:val="restart"/>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Số tầng</w:t>
            </w:r>
          </w:p>
        </w:tc>
        <w:tc>
          <w:tcPr>
            <w:tcW w:w="0" w:type="auto"/>
            <w:gridSpan w:val="2"/>
            <w:tcBorders>
              <w:bottom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rPr>
            </w:pPr>
            <w:r w:rsidRPr="00332C91">
              <w:rPr>
                <w:b/>
                <w:sz w:val="24"/>
                <w:szCs w:val="24"/>
                <w:lang w:val="en-US"/>
              </w:rPr>
              <w:t>Tần số</w:t>
            </w:r>
          </w:p>
        </w:tc>
        <w:tc>
          <w:tcPr>
            <w:tcW w:w="0" w:type="auto"/>
            <w:gridSpan w:val="2"/>
            <w:tcBorders>
              <w:bottom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rPr>
            </w:pPr>
            <w:r w:rsidRPr="00332C91">
              <w:rPr>
                <w:b/>
                <w:sz w:val="24"/>
                <w:szCs w:val="24"/>
                <w:lang w:val="en-US"/>
              </w:rPr>
              <w:t>Tỉ lệ %</w:t>
            </w:r>
          </w:p>
        </w:tc>
      </w:tr>
      <w:tr w:rsidR="00FC38CE" w:rsidRPr="00332C91" w:rsidTr="005956DB">
        <w:tc>
          <w:tcPr>
            <w:tcW w:w="0" w:type="auto"/>
            <w:vMerge/>
          </w:tcPr>
          <w:p w:rsidR="00FC38CE" w:rsidRPr="00332C91" w:rsidRDefault="00FC38CE" w:rsidP="00B82C1C">
            <w:pPr>
              <w:tabs>
                <w:tab w:val="left" w:pos="285"/>
                <w:tab w:val="center" w:pos="4513"/>
              </w:tabs>
              <w:spacing w:line="240" w:lineRule="auto"/>
              <w:contextualSpacing/>
              <w:jc w:val="center"/>
              <w:rPr>
                <w:b/>
                <w:sz w:val="24"/>
                <w:szCs w:val="24"/>
              </w:rPr>
            </w:pPr>
          </w:p>
        </w:tc>
        <w:tc>
          <w:tcPr>
            <w:tcW w:w="0" w:type="auto"/>
            <w:tcBorders>
              <w:righ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Liền xương</w:t>
            </w:r>
          </w:p>
        </w:tc>
        <w:tc>
          <w:tcPr>
            <w:tcW w:w="0" w:type="auto"/>
            <w:tcBorders>
              <w:left w:val="single" w:sz="4" w:space="0" w:color="auto"/>
              <w:bottom w:val="single" w:sz="4" w:space="0" w:color="auto"/>
              <w:righ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Không liền</w:t>
            </w:r>
          </w:p>
        </w:tc>
        <w:tc>
          <w:tcPr>
            <w:tcW w:w="0" w:type="auto"/>
            <w:tcBorders>
              <w:left w:val="single" w:sz="4" w:space="0" w:color="auto"/>
              <w:righ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Liền xương</w:t>
            </w:r>
          </w:p>
        </w:tc>
        <w:tc>
          <w:tcPr>
            <w:tcW w:w="0" w:type="auto"/>
            <w:tcBorders>
              <w:lef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Không liền</w:t>
            </w:r>
          </w:p>
        </w:tc>
      </w:tr>
      <w:tr w:rsidR="00FC38CE" w:rsidRPr="00332C91" w:rsidTr="00D622FF">
        <w:trPr>
          <w:trHeight w:val="950"/>
        </w:trPr>
        <w:tc>
          <w:tcPr>
            <w:tcW w:w="0" w:type="auto"/>
            <w:tcBorders>
              <w:bottom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1 tầng</w:t>
            </w:r>
          </w:p>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2 tầng</w:t>
            </w:r>
          </w:p>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3 tầng</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19</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9</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2</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4</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6</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46,3%</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21,9%</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4,8%</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2,4%</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9,7%</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14,6%</w:t>
            </w:r>
          </w:p>
        </w:tc>
      </w:tr>
      <w:tr w:rsidR="00FC38CE" w:rsidRPr="00332C91" w:rsidTr="005956DB">
        <w:tc>
          <w:tcPr>
            <w:tcW w:w="0" w:type="auto"/>
            <w:vMerge w:val="restart"/>
            <w:tcBorders>
              <w:bottom w:val="nil"/>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Tổng số</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30</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11</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73,2%</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26,8%</w:t>
            </w:r>
          </w:p>
        </w:tc>
      </w:tr>
      <w:tr w:rsidR="00FC38CE" w:rsidRPr="00332C91" w:rsidTr="005956DB">
        <w:tc>
          <w:tcPr>
            <w:tcW w:w="0" w:type="auto"/>
            <w:vMerge/>
          </w:tcPr>
          <w:p w:rsidR="00FC38CE" w:rsidRPr="00332C91" w:rsidRDefault="00FC38CE" w:rsidP="00B82C1C">
            <w:pPr>
              <w:tabs>
                <w:tab w:val="left" w:pos="285"/>
                <w:tab w:val="center" w:pos="4513"/>
              </w:tabs>
              <w:spacing w:line="240" w:lineRule="auto"/>
              <w:contextualSpacing/>
              <w:jc w:val="center"/>
              <w:rPr>
                <w:sz w:val="24"/>
                <w:szCs w:val="24"/>
                <w:lang w:val="en-US"/>
              </w:rPr>
            </w:pPr>
          </w:p>
        </w:tc>
        <w:tc>
          <w:tcPr>
            <w:tcW w:w="0" w:type="auto"/>
            <w:gridSpan w:val="2"/>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41 (trường hợp)</w:t>
            </w:r>
          </w:p>
        </w:tc>
        <w:tc>
          <w:tcPr>
            <w:tcW w:w="0" w:type="auto"/>
            <w:gridSpan w:val="2"/>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100%</w:t>
            </w:r>
          </w:p>
        </w:tc>
      </w:tr>
    </w:tbl>
    <w:p w:rsidR="00FC38CE" w:rsidRDefault="00FC38CE" w:rsidP="00B82C1C">
      <w:pPr>
        <w:spacing w:after="0" w:line="240" w:lineRule="auto"/>
        <w:contextualSpacing/>
        <w:rPr>
          <w:sz w:val="24"/>
          <w:szCs w:val="24"/>
        </w:rPr>
      </w:pPr>
      <w:r w:rsidRPr="00332C91">
        <w:rPr>
          <w:sz w:val="24"/>
          <w:szCs w:val="24"/>
        </w:rPr>
        <w:t>Khi kiểm bằng phép kiểm Kruskal – Wallis chúng tôi nhận thấy có sự khác biệt về tỉ lệ liền xương giữa nhóm thoát vị đĩa đệm cột sống cổ một tầng và nhiều tầng (p&lt;0,05).</w:t>
      </w:r>
    </w:p>
    <w:p w:rsidR="00DE3617" w:rsidRPr="00332C91" w:rsidRDefault="00DE3617" w:rsidP="00B82C1C">
      <w:pPr>
        <w:spacing w:after="0" w:line="240" w:lineRule="auto"/>
        <w:contextualSpacing/>
        <w:rPr>
          <w:sz w:val="24"/>
          <w:szCs w:val="24"/>
        </w:rPr>
      </w:pPr>
    </w:p>
    <w:p w:rsidR="00FC38CE" w:rsidRPr="00332C91" w:rsidRDefault="00FC38CE" w:rsidP="00B82C1C">
      <w:pPr>
        <w:spacing w:line="240" w:lineRule="auto"/>
        <w:contextualSpacing/>
        <w:rPr>
          <w:i/>
          <w:sz w:val="24"/>
          <w:szCs w:val="24"/>
          <w:u w:val="single"/>
        </w:rPr>
      </w:pPr>
      <w:r w:rsidRPr="00332C91">
        <w:rPr>
          <w:i/>
          <w:sz w:val="24"/>
          <w:szCs w:val="24"/>
          <w:u w:val="single"/>
        </w:rPr>
        <w:t>Kết quả liền xương theo vị trí thoát vị:</w:t>
      </w:r>
    </w:p>
    <w:tbl>
      <w:tblPr>
        <w:tblStyle w:val="TableGrid"/>
        <w:tblW w:w="0" w:type="auto"/>
        <w:tblLook w:val="04A0" w:firstRow="1" w:lastRow="0" w:firstColumn="1" w:lastColumn="0" w:noHBand="0" w:noVBand="1"/>
      </w:tblPr>
      <w:tblGrid>
        <w:gridCol w:w="1023"/>
        <w:gridCol w:w="1394"/>
        <w:gridCol w:w="1343"/>
        <w:gridCol w:w="1394"/>
        <w:gridCol w:w="1343"/>
      </w:tblGrid>
      <w:tr w:rsidR="00FC38CE" w:rsidRPr="00332C91" w:rsidTr="00106C70">
        <w:tc>
          <w:tcPr>
            <w:tcW w:w="0" w:type="auto"/>
            <w:vMerge w:val="restart"/>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Vị trí</w:t>
            </w:r>
          </w:p>
        </w:tc>
        <w:tc>
          <w:tcPr>
            <w:tcW w:w="0" w:type="auto"/>
            <w:gridSpan w:val="2"/>
            <w:tcBorders>
              <w:bottom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rPr>
            </w:pPr>
            <w:r w:rsidRPr="00332C91">
              <w:rPr>
                <w:b/>
                <w:sz w:val="24"/>
                <w:szCs w:val="24"/>
                <w:lang w:val="en-US"/>
              </w:rPr>
              <w:t>Tần số</w:t>
            </w:r>
          </w:p>
        </w:tc>
        <w:tc>
          <w:tcPr>
            <w:tcW w:w="0" w:type="auto"/>
            <w:gridSpan w:val="2"/>
            <w:tcBorders>
              <w:bottom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rPr>
            </w:pPr>
            <w:r w:rsidRPr="00332C91">
              <w:rPr>
                <w:b/>
                <w:sz w:val="24"/>
                <w:szCs w:val="24"/>
                <w:lang w:val="en-US"/>
              </w:rPr>
              <w:t>Tỉ lệ %</w:t>
            </w:r>
          </w:p>
        </w:tc>
      </w:tr>
      <w:tr w:rsidR="00FC38CE" w:rsidRPr="00332C91" w:rsidTr="00106C70">
        <w:tc>
          <w:tcPr>
            <w:tcW w:w="0" w:type="auto"/>
            <w:vMerge/>
          </w:tcPr>
          <w:p w:rsidR="00FC38CE" w:rsidRPr="00332C91" w:rsidRDefault="00FC38CE" w:rsidP="00B82C1C">
            <w:pPr>
              <w:tabs>
                <w:tab w:val="left" w:pos="285"/>
                <w:tab w:val="center" w:pos="4513"/>
              </w:tabs>
              <w:spacing w:line="240" w:lineRule="auto"/>
              <w:contextualSpacing/>
              <w:jc w:val="center"/>
              <w:rPr>
                <w:b/>
                <w:sz w:val="24"/>
                <w:szCs w:val="24"/>
              </w:rPr>
            </w:pPr>
          </w:p>
        </w:tc>
        <w:tc>
          <w:tcPr>
            <w:tcW w:w="0" w:type="auto"/>
            <w:tcBorders>
              <w:righ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Liền xương</w:t>
            </w:r>
          </w:p>
        </w:tc>
        <w:tc>
          <w:tcPr>
            <w:tcW w:w="0" w:type="auto"/>
            <w:tcBorders>
              <w:left w:val="single" w:sz="4" w:space="0" w:color="auto"/>
              <w:bottom w:val="single" w:sz="4" w:space="0" w:color="auto"/>
              <w:righ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Không liền</w:t>
            </w:r>
          </w:p>
        </w:tc>
        <w:tc>
          <w:tcPr>
            <w:tcW w:w="0" w:type="auto"/>
            <w:tcBorders>
              <w:left w:val="single" w:sz="4" w:space="0" w:color="auto"/>
              <w:righ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Liền xương</w:t>
            </w:r>
          </w:p>
        </w:tc>
        <w:tc>
          <w:tcPr>
            <w:tcW w:w="0" w:type="auto"/>
            <w:tcBorders>
              <w:left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Không liền</w:t>
            </w:r>
          </w:p>
        </w:tc>
      </w:tr>
      <w:tr w:rsidR="00FC38CE" w:rsidRPr="00332C91" w:rsidTr="00455CC9">
        <w:trPr>
          <w:trHeight w:val="998"/>
        </w:trPr>
        <w:tc>
          <w:tcPr>
            <w:tcW w:w="0" w:type="auto"/>
            <w:tcBorders>
              <w:bottom w:val="single" w:sz="4" w:space="0" w:color="auto"/>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C3-4</w:t>
            </w:r>
          </w:p>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C4-5</w:t>
            </w:r>
          </w:p>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C5-6</w:t>
            </w:r>
          </w:p>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C6-7</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16</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17</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22</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0</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7</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6</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22,9%</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24,3%</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31,4%</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1,4%</w:t>
            </w:r>
          </w:p>
        </w:tc>
        <w:tc>
          <w:tcPr>
            <w:tcW w:w="0" w:type="auto"/>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0%</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10%</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8,6%</w:t>
            </w:r>
          </w:p>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1,4%</w:t>
            </w:r>
          </w:p>
        </w:tc>
      </w:tr>
      <w:tr w:rsidR="00FC38CE" w:rsidRPr="00332C91" w:rsidTr="00106C70">
        <w:tc>
          <w:tcPr>
            <w:tcW w:w="0" w:type="auto"/>
            <w:vMerge w:val="restart"/>
            <w:tcBorders>
              <w:bottom w:val="nil"/>
            </w:tcBorders>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Tổng số</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56</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14</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80%</w:t>
            </w:r>
          </w:p>
        </w:tc>
        <w:tc>
          <w:tcPr>
            <w:tcW w:w="0" w:type="auto"/>
          </w:tcPr>
          <w:p w:rsidR="00FC38CE" w:rsidRPr="00332C91" w:rsidRDefault="00FC38CE" w:rsidP="00B82C1C">
            <w:pPr>
              <w:tabs>
                <w:tab w:val="left" w:pos="285"/>
                <w:tab w:val="center" w:pos="4513"/>
              </w:tabs>
              <w:spacing w:line="240" w:lineRule="auto"/>
              <w:contextualSpacing/>
              <w:jc w:val="center"/>
              <w:rPr>
                <w:b/>
                <w:sz w:val="24"/>
                <w:szCs w:val="24"/>
                <w:lang w:val="en-US"/>
              </w:rPr>
            </w:pPr>
            <w:r w:rsidRPr="00332C91">
              <w:rPr>
                <w:b/>
                <w:sz w:val="24"/>
                <w:szCs w:val="24"/>
                <w:lang w:val="en-US"/>
              </w:rPr>
              <w:t>20%</w:t>
            </w:r>
          </w:p>
        </w:tc>
      </w:tr>
      <w:tr w:rsidR="00FC38CE" w:rsidRPr="00332C91" w:rsidTr="00106C70">
        <w:tc>
          <w:tcPr>
            <w:tcW w:w="0" w:type="auto"/>
            <w:vMerge/>
          </w:tcPr>
          <w:p w:rsidR="00FC38CE" w:rsidRPr="00332C91" w:rsidRDefault="00FC38CE" w:rsidP="00B82C1C">
            <w:pPr>
              <w:tabs>
                <w:tab w:val="left" w:pos="285"/>
                <w:tab w:val="center" w:pos="4513"/>
              </w:tabs>
              <w:spacing w:line="240" w:lineRule="auto"/>
              <w:contextualSpacing/>
              <w:jc w:val="center"/>
              <w:rPr>
                <w:sz w:val="24"/>
                <w:szCs w:val="24"/>
                <w:lang w:val="en-US"/>
              </w:rPr>
            </w:pPr>
          </w:p>
        </w:tc>
        <w:tc>
          <w:tcPr>
            <w:tcW w:w="0" w:type="auto"/>
            <w:gridSpan w:val="2"/>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70 (tầng)</w:t>
            </w:r>
          </w:p>
        </w:tc>
        <w:tc>
          <w:tcPr>
            <w:tcW w:w="0" w:type="auto"/>
            <w:gridSpan w:val="2"/>
          </w:tcPr>
          <w:p w:rsidR="00FC38CE" w:rsidRPr="00332C91" w:rsidRDefault="00FC38CE" w:rsidP="00B82C1C">
            <w:pPr>
              <w:tabs>
                <w:tab w:val="left" w:pos="285"/>
                <w:tab w:val="center" w:pos="4513"/>
              </w:tabs>
              <w:spacing w:line="240" w:lineRule="auto"/>
              <w:contextualSpacing/>
              <w:jc w:val="center"/>
              <w:rPr>
                <w:sz w:val="24"/>
                <w:szCs w:val="24"/>
                <w:lang w:val="en-US"/>
              </w:rPr>
            </w:pPr>
            <w:r w:rsidRPr="00332C91">
              <w:rPr>
                <w:sz w:val="24"/>
                <w:szCs w:val="24"/>
                <w:lang w:val="en-US"/>
              </w:rPr>
              <w:t>100%</w:t>
            </w:r>
          </w:p>
        </w:tc>
      </w:tr>
      <w:tr w:rsidR="00DE3617" w:rsidRPr="00332C91" w:rsidTr="00106C70">
        <w:tc>
          <w:tcPr>
            <w:tcW w:w="0" w:type="auto"/>
          </w:tcPr>
          <w:p w:rsidR="00DE3617" w:rsidRPr="00332C91" w:rsidRDefault="00DE3617" w:rsidP="00B82C1C">
            <w:pPr>
              <w:tabs>
                <w:tab w:val="left" w:pos="285"/>
                <w:tab w:val="center" w:pos="4513"/>
              </w:tabs>
              <w:spacing w:line="240" w:lineRule="auto"/>
              <w:contextualSpacing/>
              <w:jc w:val="center"/>
              <w:rPr>
                <w:sz w:val="24"/>
                <w:szCs w:val="24"/>
                <w:lang w:val="en-US"/>
              </w:rPr>
            </w:pPr>
          </w:p>
        </w:tc>
        <w:tc>
          <w:tcPr>
            <w:tcW w:w="0" w:type="auto"/>
            <w:gridSpan w:val="2"/>
          </w:tcPr>
          <w:p w:rsidR="00DE3617" w:rsidRPr="00332C91" w:rsidRDefault="00DE3617" w:rsidP="00B82C1C">
            <w:pPr>
              <w:tabs>
                <w:tab w:val="left" w:pos="285"/>
                <w:tab w:val="center" w:pos="4513"/>
              </w:tabs>
              <w:spacing w:line="240" w:lineRule="auto"/>
              <w:contextualSpacing/>
              <w:jc w:val="center"/>
              <w:rPr>
                <w:sz w:val="24"/>
                <w:szCs w:val="24"/>
                <w:lang w:val="en-US"/>
              </w:rPr>
            </w:pPr>
          </w:p>
        </w:tc>
        <w:tc>
          <w:tcPr>
            <w:tcW w:w="0" w:type="auto"/>
            <w:gridSpan w:val="2"/>
          </w:tcPr>
          <w:p w:rsidR="00DE3617" w:rsidRPr="00332C91" w:rsidRDefault="00DE3617" w:rsidP="00B82C1C">
            <w:pPr>
              <w:tabs>
                <w:tab w:val="left" w:pos="285"/>
                <w:tab w:val="center" w:pos="4513"/>
              </w:tabs>
              <w:spacing w:line="240" w:lineRule="auto"/>
              <w:contextualSpacing/>
              <w:jc w:val="center"/>
              <w:rPr>
                <w:sz w:val="24"/>
                <w:szCs w:val="24"/>
                <w:lang w:val="en-US"/>
              </w:rPr>
            </w:pPr>
          </w:p>
        </w:tc>
      </w:tr>
    </w:tbl>
    <w:p w:rsidR="00FC38CE" w:rsidRPr="00332C91" w:rsidRDefault="00FC38CE" w:rsidP="00B82C1C">
      <w:pPr>
        <w:spacing w:line="240" w:lineRule="auto"/>
        <w:contextualSpacing/>
        <w:rPr>
          <w:sz w:val="24"/>
          <w:szCs w:val="24"/>
        </w:rPr>
      </w:pPr>
      <w:r w:rsidRPr="00455CC9">
        <w:rPr>
          <w:i/>
          <w:sz w:val="24"/>
          <w:szCs w:val="24"/>
          <w:u w:val="single"/>
        </w:rPr>
        <w:t>Liên quan giữa k</w:t>
      </w:r>
      <w:r w:rsidRPr="00332C91">
        <w:rPr>
          <w:i/>
          <w:sz w:val="24"/>
          <w:szCs w:val="24"/>
          <w:u w:val="single"/>
        </w:rPr>
        <w:t xml:space="preserve">ết quả liền xương </w:t>
      </w:r>
      <w:r w:rsidRPr="00455CC9">
        <w:rPr>
          <w:i/>
          <w:sz w:val="24"/>
          <w:szCs w:val="24"/>
          <w:u w:val="single"/>
        </w:rPr>
        <w:t>và đi</w:t>
      </w:r>
      <w:r w:rsidRPr="00332C91">
        <w:rPr>
          <w:i/>
          <w:sz w:val="24"/>
          <w:szCs w:val="24"/>
          <w:u w:val="single"/>
        </w:rPr>
        <w:t>ểm JOA ở lần khám cuối:</w:t>
      </w:r>
      <w:r w:rsidRPr="00332C91">
        <w:rPr>
          <w:sz w:val="24"/>
          <w:szCs w:val="24"/>
        </w:rPr>
        <w:t> </w:t>
      </w:r>
    </w:p>
    <w:tbl>
      <w:tblPr>
        <w:tblW w:w="5807" w:type="dxa"/>
        <w:tblBorders>
          <w:top w:val="single" w:sz="6" w:space="0" w:color="A0A0A0"/>
          <w:left w:val="single" w:sz="6" w:space="0" w:color="A0A0A0"/>
          <w:bottom w:val="single" w:sz="6" w:space="0" w:color="A0A0A0"/>
          <w:right w:val="single" w:sz="6" w:space="0" w:color="A0A0A0"/>
        </w:tblBorders>
        <w:tblCellMar>
          <w:top w:w="15" w:type="dxa"/>
          <w:left w:w="15" w:type="dxa"/>
          <w:bottom w:w="15" w:type="dxa"/>
          <w:right w:w="15" w:type="dxa"/>
        </w:tblCellMar>
        <w:tblLook w:val="04A0" w:firstRow="1" w:lastRow="0" w:firstColumn="1" w:lastColumn="0" w:noHBand="0" w:noVBand="1"/>
      </w:tblPr>
      <w:tblGrid>
        <w:gridCol w:w="1480"/>
        <w:gridCol w:w="1420"/>
        <w:gridCol w:w="1420"/>
        <w:gridCol w:w="1487"/>
      </w:tblGrid>
      <w:tr w:rsidR="00FC38CE" w:rsidRPr="00332C91" w:rsidTr="00071158">
        <w:trPr>
          <w:trHeight w:val="218"/>
        </w:trPr>
        <w:tc>
          <w:tcPr>
            <w:tcW w:w="0" w:type="auto"/>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E3E3E3"/>
            <w:tcMar>
              <w:top w:w="15" w:type="dxa"/>
              <w:left w:w="120" w:type="dxa"/>
              <w:bottom w:w="15" w:type="dxa"/>
              <w:right w:w="120" w:type="dxa"/>
            </w:tcMar>
            <w:hideMark/>
          </w:tcPr>
          <w:p w:rsidR="00FC38CE" w:rsidRPr="00071158" w:rsidRDefault="00FC38CE" w:rsidP="00B82C1C">
            <w:pPr>
              <w:spacing w:after="0" w:line="240" w:lineRule="auto"/>
              <w:contextualSpacing/>
              <w:jc w:val="right"/>
              <w:rPr>
                <w:rStyle w:val="normal1"/>
                <w:rFonts w:asciiTheme="majorHAnsi" w:hAnsiTheme="majorHAnsi" w:cstheme="majorHAnsi"/>
                <w:b/>
                <w:sz w:val="24"/>
                <w:szCs w:val="24"/>
              </w:rPr>
            </w:pPr>
            <w:r w:rsidRPr="00071158">
              <w:rPr>
                <w:rStyle w:val="normal1"/>
                <w:rFonts w:asciiTheme="majorHAnsi" w:hAnsiTheme="majorHAnsi" w:cstheme="majorHAnsi"/>
                <w:b/>
                <w:sz w:val="24"/>
                <w:szCs w:val="24"/>
              </w:rPr>
              <w:t>Đánh giá</w:t>
            </w:r>
          </w:p>
          <w:p w:rsidR="00FC38CE" w:rsidRPr="00071158" w:rsidRDefault="00FC38CE" w:rsidP="00B82C1C">
            <w:pPr>
              <w:spacing w:after="0" w:line="240" w:lineRule="auto"/>
              <w:contextualSpacing/>
              <w:jc w:val="center"/>
              <w:rPr>
                <w:rStyle w:val="normal1"/>
                <w:rFonts w:asciiTheme="majorHAnsi" w:hAnsiTheme="majorHAnsi" w:cstheme="majorHAnsi"/>
                <w:b/>
                <w:sz w:val="24"/>
                <w:szCs w:val="24"/>
              </w:rPr>
            </w:pPr>
          </w:p>
          <w:p w:rsidR="00FC38CE" w:rsidRPr="00071158" w:rsidRDefault="00FC38CE" w:rsidP="00B82C1C">
            <w:pPr>
              <w:spacing w:after="0" w:line="240" w:lineRule="auto"/>
              <w:contextualSpacing/>
              <w:jc w:val="left"/>
              <w:rPr>
                <w:b/>
                <w:sz w:val="24"/>
                <w:szCs w:val="24"/>
              </w:rPr>
            </w:pPr>
            <w:r w:rsidRPr="00071158">
              <w:rPr>
                <w:rStyle w:val="normal1"/>
                <w:rFonts w:asciiTheme="majorHAnsi" w:hAnsiTheme="majorHAnsi" w:cstheme="majorHAnsi"/>
                <w:b/>
                <w:sz w:val="24"/>
                <w:szCs w:val="24"/>
              </w:rPr>
              <w:t>JOA</w:t>
            </w:r>
          </w:p>
        </w:tc>
        <w:tc>
          <w:tcPr>
            <w:tcW w:w="0" w:type="auto"/>
            <w:gridSpan w:val="2"/>
            <w:tcBorders>
              <w:top w:val="single" w:sz="4" w:space="0" w:color="auto"/>
              <w:left w:val="single" w:sz="4" w:space="0" w:color="auto"/>
              <w:bottom w:val="single" w:sz="6" w:space="0" w:color="A0A0A0"/>
              <w:right w:val="single" w:sz="6" w:space="0" w:color="A0A0A0"/>
            </w:tcBorders>
            <w:shd w:val="clear" w:color="auto" w:fill="E3E3E3"/>
            <w:tcMar>
              <w:top w:w="15" w:type="dxa"/>
              <w:left w:w="120" w:type="dxa"/>
              <w:bottom w:w="15" w:type="dxa"/>
              <w:right w:w="120" w:type="dxa"/>
            </w:tcMar>
            <w:hideMark/>
          </w:tcPr>
          <w:p w:rsidR="00FC38CE" w:rsidRPr="00071158" w:rsidRDefault="00FC38CE" w:rsidP="00B82C1C">
            <w:pPr>
              <w:spacing w:after="0" w:line="240" w:lineRule="auto"/>
              <w:contextualSpacing/>
              <w:jc w:val="center"/>
              <w:rPr>
                <w:b/>
                <w:sz w:val="24"/>
                <w:szCs w:val="24"/>
              </w:rPr>
            </w:pPr>
            <w:r w:rsidRPr="00071158">
              <w:rPr>
                <w:rStyle w:val="normal1"/>
                <w:rFonts w:asciiTheme="majorHAnsi" w:hAnsiTheme="majorHAnsi" w:cstheme="majorHAnsi"/>
                <w:b/>
                <w:sz w:val="24"/>
                <w:szCs w:val="24"/>
              </w:rPr>
              <w:t>Liền xương</w:t>
            </w:r>
          </w:p>
        </w:tc>
        <w:tc>
          <w:tcPr>
            <w:tcW w:w="0" w:type="auto"/>
            <w:tcBorders>
              <w:top w:val="single" w:sz="4" w:space="0" w:color="auto"/>
              <w:right w:val="single" w:sz="4" w:space="0" w:color="auto"/>
            </w:tcBorders>
            <w:shd w:val="clear" w:color="auto" w:fill="E3E3E3"/>
            <w:tcMar>
              <w:top w:w="15" w:type="dxa"/>
              <w:left w:w="120" w:type="dxa"/>
              <w:bottom w:w="15" w:type="dxa"/>
              <w:right w:w="120" w:type="dxa"/>
            </w:tcMar>
            <w:hideMark/>
          </w:tcPr>
          <w:p w:rsidR="00FC38CE" w:rsidRPr="00071158" w:rsidRDefault="00FC38CE" w:rsidP="00B82C1C">
            <w:pPr>
              <w:spacing w:after="0" w:line="240" w:lineRule="auto"/>
              <w:contextualSpacing/>
              <w:jc w:val="center"/>
              <w:rPr>
                <w:b/>
                <w:sz w:val="24"/>
                <w:szCs w:val="24"/>
              </w:rPr>
            </w:pPr>
          </w:p>
        </w:tc>
      </w:tr>
      <w:tr w:rsidR="00FC38CE" w:rsidRPr="00332C91" w:rsidTr="00071158">
        <w:trPr>
          <w:trHeight w:val="206"/>
        </w:trPr>
        <w:tc>
          <w:tcPr>
            <w:tcW w:w="0" w:type="auto"/>
            <w:vMerge/>
            <w:tcBorders>
              <w:top w:val="single" w:sz="6" w:space="0" w:color="A0A0A0"/>
              <w:left w:val="single" w:sz="4" w:space="0" w:color="auto"/>
              <w:bottom w:val="single" w:sz="4" w:space="0" w:color="auto"/>
              <w:right w:val="single" w:sz="4" w:space="0" w:color="auto"/>
              <w:tl2br w:val="single" w:sz="4" w:space="0" w:color="auto"/>
            </w:tcBorders>
            <w:shd w:val="clear" w:color="auto" w:fill="E3E3E3"/>
            <w:tcMar>
              <w:top w:w="15" w:type="dxa"/>
              <w:left w:w="120" w:type="dxa"/>
              <w:bottom w:w="15" w:type="dxa"/>
              <w:right w:w="120" w:type="dxa"/>
            </w:tcMar>
            <w:hideMark/>
          </w:tcPr>
          <w:p w:rsidR="00FC38CE" w:rsidRPr="00071158" w:rsidRDefault="00FC38CE" w:rsidP="00B82C1C">
            <w:pPr>
              <w:spacing w:after="0" w:line="240" w:lineRule="auto"/>
              <w:contextualSpacing/>
              <w:jc w:val="center"/>
              <w:rPr>
                <w:b/>
                <w:sz w:val="24"/>
                <w:szCs w:val="24"/>
              </w:rPr>
            </w:pPr>
          </w:p>
        </w:tc>
        <w:tc>
          <w:tcPr>
            <w:tcW w:w="0" w:type="auto"/>
            <w:tcBorders>
              <w:top w:val="single" w:sz="6" w:space="0" w:color="A0A0A0"/>
              <w:left w:val="single" w:sz="4" w:space="0" w:color="auto"/>
              <w:bottom w:val="single" w:sz="6" w:space="0" w:color="A0A0A0"/>
              <w:right w:val="single" w:sz="6" w:space="0" w:color="A0A0A0"/>
            </w:tcBorders>
            <w:shd w:val="clear" w:color="auto" w:fill="E3E3E3"/>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b/>
                <w:sz w:val="24"/>
                <w:szCs w:val="24"/>
              </w:rPr>
            </w:pPr>
            <w:r w:rsidRPr="00071158">
              <w:rPr>
                <w:rStyle w:val="result"/>
                <w:b/>
                <w:color w:val="auto"/>
                <w:sz w:val="24"/>
                <w:szCs w:val="24"/>
              </w:rPr>
              <w:t>Không</w:t>
            </w:r>
          </w:p>
        </w:tc>
        <w:tc>
          <w:tcPr>
            <w:tcW w:w="0" w:type="auto"/>
            <w:tcBorders>
              <w:top w:val="single" w:sz="6" w:space="0" w:color="A0A0A0"/>
              <w:left w:val="single" w:sz="6" w:space="0" w:color="A0A0A0"/>
              <w:bottom w:val="single" w:sz="6" w:space="0" w:color="A0A0A0"/>
              <w:right w:val="single" w:sz="6" w:space="0" w:color="A0A0A0"/>
            </w:tcBorders>
            <w:shd w:val="clear" w:color="auto" w:fill="E3E3E3"/>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b/>
                <w:sz w:val="24"/>
                <w:szCs w:val="24"/>
              </w:rPr>
            </w:pPr>
            <w:r w:rsidRPr="00071158">
              <w:rPr>
                <w:rStyle w:val="result"/>
                <w:b/>
                <w:color w:val="auto"/>
                <w:sz w:val="24"/>
                <w:szCs w:val="24"/>
              </w:rPr>
              <w:t>Có</w:t>
            </w:r>
          </w:p>
        </w:tc>
        <w:tc>
          <w:tcPr>
            <w:tcW w:w="0" w:type="auto"/>
            <w:tcBorders>
              <w:top w:val="nil"/>
              <w:left w:val="single" w:sz="6" w:space="0" w:color="A0A0A0"/>
              <w:bottom w:val="single" w:sz="6" w:space="0" w:color="A0A0A0"/>
              <w:right w:val="single" w:sz="4" w:space="0" w:color="auto"/>
            </w:tcBorders>
            <w:shd w:val="clear" w:color="auto" w:fill="E3E3E3"/>
            <w:tcMar>
              <w:top w:w="15" w:type="dxa"/>
              <w:left w:w="120" w:type="dxa"/>
              <w:bottom w:w="15" w:type="dxa"/>
              <w:right w:w="120" w:type="dxa"/>
            </w:tcMar>
            <w:hideMark/>
          </w:tcPr>
          <w:p w:rsidR="00FC38CE" w:rsidRPr="00071158" w:rsidRDefault="00FC38CE" w:rsidP="00B82C1C">
            <w:pPr>
              <w:spacing w:after="0" w:line="240" w:lineRule="auto"/>
              <w:contextualSpacing/>
              <w:jc w:val="center"/>
              <w:rPr>
                <w:b/>
                <w:sz w:val="24"/>
                <w:szCs w:val="24"/>
              </w:rPr>
            </w:pPr>
            <w:r w:rsidRPr="00071158">
              <w:rPr>
                <w:b/>
                <w:sz w:val="24"/>
                <w:szCs w:val="24"/>
              </w:rPr>
              <w:t xml:space="preserve">Tổng cộng </w:t>
            </w:r>
          </w:p>
        </w:tc>
      </w:tr>
      <w:tr w:rsidR="00FC38CE" w:rsidRPr="00332C91" w:rsidTr="00071158">
        <w:trPr>
          <w:trHeight w:val="302"/>
        </w:trPr>
        <w:tc>
          <w:tcPr>
            <w:tcW w:w="0" w:type="auto"/>
            <w:tcBorders>
              <w:top w:val="single" w:sz="4" w:space="0" w:color="auto"/>
              <w:left w:val="single" w:sz="4" w:space="0" w:color="auto"/>
              <w:bottom w:val="dotted" w:sz="6" w:space="0" w:color="A0A0A0"/>
              <w:right w:val="single" w:sz="6" w:space="0" w:color="A0A0A0"/>
            </w:tcBorders>
            <w:shd w:val="clear" w:color="auto" w:fill="E3E3E3"/>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b/>
                <w:color w:val="auto"/>
                <w:sz w:val="24"/>
                <w:szCs w:val="24"/>
              </w:rPr>
            </w:pPr>
            <w:r w:rsidRPr="00071158">
              <w:rPr>
                <w:rStyle w:val="result"/>
                <w:b/>
                <w:color w:val="auto"/>
                <w:sz w:val="24"/>
                <w:szCs w:val="24"/>
              </w:rPr>
              <w:t>0 - 7</w:t>
            </w:r>
          </w:p>
        </w:tc>
        <w:tc>
          <w:tcPr>
            <w:tcW w:w="0" w:type="auto"/>
            <w:tcBorders>
              <w:bottom w:val="dotted" w:sz="6" w:space="0" w:color="A0A0A0"/>
              <w:right w:val="dotted" w:sz="6" w:space="0" w:color="A0A0A0"/>
            </w:tcBorders>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color w:val="auto"/>
                <w:sz w:val="24"/>
                <w:szCs w:val="24"/>
              </w:rPr>
            </w:pPr>
            <w:r w:rsidRPr="00071158">
              <w:rPr>
                <w:rStyle w:val="result"/>
                <w:color w:val="auto"/>
                <w:sz w:val="24"/>
                <w:szCs w:val="24"/>
              </w:rPr>
              <w:t>0</w:t>
            </w:r>
          </w:p>
        </w:tc>
        <w:tc>
          <w:tcPr>
            <w:tcW w:w="0" w:type="auto"/>
            <w:tcBorders>
              <w:bottom w:val="dotted" w:sz="6" w:space="0" w:color="A0A0A0"/>
              <w:right w:val="dotted" w:sz="6" w:space="0" w:color="A0A0A0"/>
            </w:tcBorders>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color w:val="auto"/>
                <w:sz w:val="24"/>
                <w:szCs w:val="24"/>
              </w:rPr>
            </w:pPr>
            <w:r w:rsidRPr="00071158">
              <w:rPr>
                <w:rStyle w:val="result"/>
                <w:color w:val="auto"/>
                <w:sz w:val="24"/>
                <w:szCs w:val="24"/>
              </w:rPr>
              <w:t>0</w:t>
            </w:r>
          </w:p>
        </w:tc>
        <w:tc>
          <w:tcPr>
            <w:tcW w:w="0" w:type="auto"/>
            <w:tcBorders>
              <w:bottom w:val="dotted" w:sz="6" w:space="0" w:color="A0A0A0"/>
              <w:right w:val="single" w:sz="4" w:space="0" w:color="auto"/>
            </w:tcBorders>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color w:val="auto"/>
                <w:sz w:val="24"/>
                <w:szCs w:val="24"/>
              </w:rPr>
            </w:pPr>
            <w:r w:rsidRPr="00071158">
              <w:rPr>
                <w:rStyle w:val="result"/>
                <w:color w:val="auto"/>
                <w:sz w:val="24"/>
                <w:szCs w:val="24"/>
              </w:rPr>
              <w:t>0 (0%)</w:t>
            </w:r>
          </w:p>
        </w:tc>
      </w:tr>
      <w:tr w:rsidR="00FC38CE" w:rsidRPr="00332C91" w:rsidTr="00071158">
        <w:trPr>
          <w:trHeight w:val="214"/>
        </w:trPr>
        <w:tc>
          <w:tcPr>
            <w:tcW w:w="0" w:type="auto"/>
            <w:tcBorders>
              <w:left w:val="single" w:sz="4" w:space="0" w:color="auto"/>
              <w:bottom w:val="dotted" w:sz="6" w:space="0" w:color="A0A0A0"/>
              <w:right w:val="single" w:sz="6" w:space="0" w:color="A0A0A0"/>
            </w:tcBorders>
            <w:shd w:val="clear" w:color="auto" w:fill="E3E3E3"/>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b/>
                <w:color w:val="auto"/>
                <w:sz w:val="24"/>
                <w:szCs w:val="24"/>
              </w:rPr>
            </w:pPr>
            <w:r w:rsidRPr="00071158">
              <w:rPr>
                <w:rStyle w:val="result"/>
                <w:b/>
                <w:color w:val="auto"/>
                <w:sz w:val="24"/>
                <w:szCs w:val="24"/>
              </w:rPr>
              <w:t>8 - 11</w:t>
            </w:r>
          </w:p>
        </w:tc>
        <w:tc>
          <w:tcPr>
            <w:tcW w:w="0" w:type="auto"/>
            <w:tcBorders>
              <w:bottom w:val="dotted" w:sz="6" w:space="0" w:color="A0A0A0"/>
              <w:right w:val="dotted" w:sz="6" w:space="0" w:color="A0A0A0"/>
            </w:tcBorders>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color w:val="auto"/>
                <w:sz w:val="24"/>
                <w:szCs w:val="24"/>
              </w:rPr>
            </w:pPr>
            <w:r w:rsidRPr="00071158">
              <w:rPr>
                <w:rStyle w:val="result"/>
                <w:color w:val="auto"/>
                <w:sz w:val="24"/>
                <w:szCs w:val="24"/>
              </w:rPr>
              <w:t>0</w:t>
            </w:r>
          </w:p>
        </w:tc>
        <w:tc>
          <w:tcPr>
            <w:tcW w:w="0" w:type="auto"/>
            <w:tcBorders>
              <w:bottom w:val="dotted" w:sz="6" w:space="0" w:color="A0A0A0"/>
              <w:right w:val="dotted" w:sz="6" w:space="0" w:color="A0A0A0"/>
            </w:tcBorders>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color w:val="auto"/>
                <w:sz w:val="24"/>
                <w:szCs w:val="24"/>
              </w:rPr>
            </w:pPr>
            <w:r w:rsidRPr="00071158">
              <w:rPr>
                <w:rStyle w:val="result"/>
                <w:color w:val="auto"/>
                <w:sz w:val="24"/>
                <w:szCs w:val="24"/>
              </w:rPr>
              <w:t>0</w:t>
            </w:r>
          </w:p>
        </w:tc>
        <w:tc>
          <w:tcPr>
            <w:tcW w:w="0" w:type="auto"/>
            <w:tcBorders>
              <w:bottom w:val="dotted" w:sz="6" w:space="0" w:color="A0A0A0"/>
              <w:right w:val="single" w:sz="4" w:space="0" w:color="auto"/>
            </w:tcBorders>
            <w:tcMar>
              <w:top w:w="15" w:type="dxa"/>
              <w:left w:w="120" w:type="dxa"/>
              <w:bottom w:w="15" w:type="dxa"/>
              <w:right w:w="120" w:type="dxa"/>
            </w:tcMar>
          </w:tcPr>
          <w:p w:rsidR="00FC38CE" w:rsidRPr="00071158" w:rsidRDefault="00FC38CE" w:rsidP="00B82C1C">
            <w:pPr>
              <w:spacing w:before="120" w:after="0" w:line="240" w:lineRule="auto"/>
              <w:contextualSpacing/>
              <w:jc w:val="center"/>
              <w:rPr>
                <w:rStyle w:val="result"/>
                <w:color w:val="auto"/>
                <w:sz w:val="24"/>
                <w:szCs w:val="24"/>
              </w:rPr>
            </w:pPr>
            <w:r w:rsidRPr="00071158">
              <w:rPr>
                <w:rStyle w:val="result"/>
                <w:color w:val="auto"/>
                <w:sz w:val="24"/>
                <w:szCs w:val="24"/>
              </w:rPr>
              <w:t>0 (0%)</w:t>
            </w:r>
          </w:p>
        </w:tc>
      </w:tr>
      <w:tr w:rsidR="00FC38CE" w:rsidRPr="00332C91" w:rsidTr="00071158">
        <w:trPr>
          <w:trHeight w:val="218"/>
        </w:trPr>
        <w:tc>
          <w:tcPr>
            <w:tcW w:w="0" w:type="auto"/>
            <w:tcBorders>
              <w:left w:val="single" w:sz="4" w:space="0" w:color="auto"/>
              <w:bottom w:val="dotted" w:sz="6" w:space="0" w:color="A0A0A0"/>
              <w:right w:val="single" w:sz="6" w:space="0" w:color="A0A0A0"/>
            </w:tcBorders>
            <w:shd w:val="clear" w:color="auto" w:fill="E3E3E3"/>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b/>
                <w:sz w:val="24"/>
                <w:szCs w:val="24"/>
              </w:rPr>
            </w:pPr>
            <w:r w:rsidRPr="00071158">
              <w:rPr>
                <w:rStyle w:val="result"/>
                <w:b/>
                <w:color w:val="auto"/>
                <w:sz w:val="24"/>
                <w:szCs w:val="24"/>
              </w:rPr>
              <w:t>12 - 15</w:t>
            </w:r>
          </w:p>
        </w:tc>
        <w:tc>
          <w:tcPr>
            <w:tcW w:w="0" w:type="auto"/>
            <w:tcBorders>
              <w:bottom w:val="dotted" w:sz="6" w:space="0" w:color="A0A0A0"/>
              <w:right w:val="dotted" w:sz="6" w:space="0" w:color="A0A0A0"/>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6</w:t>
            </w:r>
          </w:p>
        </w:tc>
        <w:tc>
          <w:tcPr>
            <w:tcW w:w="0" w:type="auto"/>
            <w:tcBorders>
              <w:bottom w:val="dotted" w:sz="6" w:space="0" w:color="A0A0A0"/>
              <w:right w:val="dotted" w:sz="6" w:space="0" w:color="A0A0A0"/>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10</w:t>
            </w:r>
          </w:p>
        </w:tc>
        <w:tc>
          <w:tcPr>
            <w:tcW w:w="0" w:type="auto"/>
            <w:tcBorders>
              <w:bottom w:val="dotted" w:sz="6" w:space="0" w:color="A0A0A0"/>
              <w:right w:val="single" w:sz="4" w:space="0" w:color="auto"/>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16</w:t>
            </w:r>
            <w:r w:rsidRPr="00071158">
              <w:rPr>
                <w:sz w:val="24"/>
                <w:szCs w:val="24"/>
              </w:rPr>
              <w:t> </w:t>
            </w:r>
            <w:r w:rsidRPr="00071158">
              <w:rPr>
                <w:rStyle w:val="result"/>
                <w:color w:val="auto"/>
                <w:sz w:val="24"/>
                <w:szCs w:val="24"/>
              </w:rPr>
              <w:t>(39,0%)</w:t>
            </w:r>
          </w:p>
        </w:tc>
      </w:tr>
      <w:tr w:rsidR="00FC38CE" w:rsidRPr="00332C91" w:rsidTr="00071158">
        <w:trPr>
          <w:trHeight w:val="73"/>
        </w:trPr>
        <w:tc>
          <w:tcPr>
            <w:tcW w:w="0" w:type="auto"/>
            <w:tcBorders>
              <w:left w:val="single" w:sz="4" w:space="0" w:color="auto"/>
              <w:bottom w:val="single" w:sz="6" w:space="0" w:color="A0A0A0"/>
              <w:right w:val="single" w:sz="6" w:space="0" w:color="A0A0A0"/>
            </w:tcBorders>
            <w:shd w:val="clear" w:color="auto" w:fill="E3E3E3"/>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b/>
                <w:sz w:val="24"/>
                <w:szCs w:val="24"/>
              </w:rPr>
            </w:pPr>
            <w:r w:rsidRPr="00071158">
              <w:rPr>
                <w:rStyle w:val="result"/>
                <w:b/>
                <w:color w:val="auto"/>
                <w:sz w:val="24"/>
                <w:szCs w:val="24"/>
              </w:rPr>
              <w:t>16 - 17</w:t>
            </w:r>
          </w:p>
        </w:tc>
        <w:tc>
          <w:tcPr>
            <w:tcW w:w="0" w:type="auto"/>
            <w:tcBorders>
              <w:bottom w:val="single" w:sz="6" w:space="0" w:color="A0A0A0"/>
              <w:right w:val="dotted" w:sz="6" w:space="0" w:color="A0A0A0"/>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5</w:t>
            </w:r>
          </w:p>
        </w:tc>
        <w:tc>
          <w:tcPr>
            <w:tcW w:w="0" w:type="auto"/>
            <w:tcBorders>
              <w:bottom w:val="single" w:sz="6" w:space="0" w:color="A0A0A0"/>
              <w:right w:val="dotted" w:sz="6" w:space="0" w:color="A0A0A0"/>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20</w:t>
            </w:r>
          </w:p>
        </w:tc>
        <w:tc>
          <w:tcPr>
            <w:tcW w:w="0" w:type="auto"/>
            <w:tcBorders>
              <w:bottom w:val="single" w:sz="6" w:space="0" w:color="A0A0A0"/>
              <w:right w:val="single" w:sz="4" w:space="0" w:color="auto"/>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25</w:t>
            </w:r>
            <w:r w:rsidRPr="00071158">
              <w:rPr>
                <w:sz w:val="24"/>
                <w:szCs w:val="24"/>
              </w:rPr>
              <w:t> </w:t>
            </w:r>
            <w:r w:rsidRPr="00071158">
              <w:rPr>
                <w:rStyle w:val="result"/>
                <w:color w:val="auto"/>
                <w:sz w:val="24"/>
                <w:szCs w:val="24"/>
              </w:rPr>
              <w:t>(61,0%)</w:t>
            </w:r>
          </w:p>
        </w:tc>
      </w:tr>
      <w:tr w:rsidR="00FC38CE" w:rsidRPr="00332C91" w:rsidTr="00071158">
        <w:trPr>
          <w:trHeight w:val="30"/>
        </w:trPr>
        <w:tc>
          <w:tcPr>
            <w:tcW w:w="0" w:type="auto"/>
            <w:tcBorders>
              <w:top w:val="single" w:sz="6" w:space="0" w:color="A0A0A0"/>
              <w:left w:val="single" w:sz="4" w:space="0" w:color="auto"/>
              <w:bottom w:val="single" w:sz="4" w:space="0" w:color="auto"/>
              <w:right w:val="single" w:sz="6" w:space="0" w:color="A0A0A0"/>
            </w:tcBorders>
            <w:shd w:val="clear" w:color="auto" w:fill="E3E3E3"/>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b/>
                <w:sz w:val="24"/>
                <w:szCs w:val="24"/>
                <w:lang w:val="en-US"/>
              </w:rPr>
            </w:pPr>
            <w:r w:rsidRPr="00071158">
              <w:rPr>
                <w:b/>
                <w:sz w:val="24"/>
                <w:szCs w:val="24"/>
                <w:lang w:val="en-US"/>
              </w:rPr>
              <w:t xml:space="preserve">Tổng cộng </w:t>
            </w:r>
          </w:p>
        </w:tc>
        <w:tc>
          <w:tcPr>
            <w:tcW w:w="0" w:type="auto"/>
            <w:tcBorders>
              <w:bottom w:val="single" w:sz="4" w:space="0" w:color="auto"/>
              <w:right w:val="dotted" w:sz="6" w:space="0" w:color="A0A0A0"/>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11(26,8%)</w:t>
            </w:r>
          </w:p>
        </w:tc>
        <w:tc>
          <w:tcPr>
            <w:tcW w:w="0" w:type="auto"/>
            <w:tcBorders>
              <w:bottom w:val="single" w:sz="4" w:space="0" w:color="auto"/>
              <w:right w:val="dotted" w:sz="6" w:space="0" w:color="A0A0A0"/>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rPr>
            </w:pPr>
            <w:r w:rsidRPr="00071158">
              <w:rPr>
                <w:rStyle w:val="result"/>
                <w:color w:val="auto"/>
                <w:sz w:val="24"/>
                <w:szCs w:val="24"/>
              </w:rPr>
              <w:t>30(73,2%)</w:t>
            </w:r>
          </w:p>
        </w:tc>
        <w:tc>
          <w:tcPr>
            <w:tcW w:w="0" w:type="auto"/>
            <w:tcBorders>
              <w:bottom w:val="single" w:sz="4" w:space="0" w:color="auto"/>
              <w:right w:val="single" w:sz="4" w:space="0" w:color="auto"/>
            </w:tcBorders>
            <w:tcMar>
              <w:top w:w="15" w:type="dxa"/>
              <w:left w:w="120" w:type="dxa"/>
              <w:bottom w:w="15" w:type="dxa"/>
              <w:right w:w="120" w:type="dxa"/>
            </w:tcMar>
            <w:hideMark/>
          </w:tcPr>
          <w:p w:rsidR="00FC38CE" w:rsidRPr="00071158" w:rsidRDefault="00FC38CE" w:rsidP="00B82C1C">
            <w:pPr>
              <w:spacing w:before="120" w:after="0" w:line="240" w:lineRule="auto"/>
              <w:contextualSpacing/>
              <w:jc w:val="center"/>
              <w:rPr>
                <w:sz w:val="24"/>
                <w:szCs w:val="24"/>
                <w:lang w:val="en-US"/>
              </w:rPr>
            </w:pPr>
            <w:r w:rsidRPr="00071158">
              <w:rPr>
                <w:rStyle w:val="result"/>
                <w:color w:val="auto"/>
                <w:sz w:val="24"/>
                <w:szCs w:val="24"/>
              </w:rPr>
              <w:t>41 (100%)</w:t>
            </w:r>
          </w:p>
        </w:tc>
      </w:tr>
    </w:tbl>
    <w:p w:rsidR="00FC38CE" w:rsidRDefault="00FC38CE" w:rsidP="00B82C1C">
      <w:pPr>
        <w:spacing w:before="120" w:after="0" w:line="240" w:lineRule="auto"/>
        <w:contextualSpacing/>
        <w:rPr>
          <w:sz w:val="24"/>
          <w:szCs w:val="24"/>
        </w:rPr>
      </w:pPr>
      <w:r w:rsidRPr="00332C91">
        <w:rPr>
          <w:sz w:val="24"/>
          <w:szCs w:val="24"/>
        </w:rPr>
        <w:t>Khi kiểm bằng phép kiểm Kruskal - Wallis chúng tôi nhận thấy không có mối liên quan có ý nghĩa thống kê giữa 2 nhóm liền xương và không liền xương với kết quả lâm sàng cuối cùng (p = 0,24).</w:t>
      </w:r>
    </w:p>
    <w:p w:rsidR="00FC38CE" w:rsidRPr="00455CC9" w:rsidRDefault="00FC38CE" w:rsidP="00B82C1C">
      <w:pPr>
        <w:spacing w:line="240" w:lineRule="auto"/>
        <w:contextualSpacing/>
        <w:jc w:val="left"/>
        <w:rPr>
          <w:sz w:val="24"/>
          <w:szCs w:val="24"/>
        </w:rPr>
      </w:pPr>
      <w:r w:rsidRPr="00455CC9">
        <w:rPr>
          <w:i/>
          <w:sz w:val="24"/>
          <w:szCs w:val="24"/>
          <w:u w:val="single"/>
        </w:rPr>
        <w:t>Liên quan giữa k</w:t>
      </w:r>
      <w:r w:rsidRPr="00332C91">
        <w:rPr>
          <w:i/>
          <w:sz w:val="24"/>
          <w:szCs w:val="24"/>
          <w:u w:val="single"/>
        </w:rPr>
        <w:t xml:space="preserve">ết quả liền xương </w:t>
      </w:r>
      <w:r w:rsidRPr="00455CC9">
        <w:rPr>
          <w:i/>
          <w:sz w:val="24"/>
          <w:szCs w:val="24"/>
          <w:u w:val="single"/>
        </w:rPr>
        <w:t xml:space="preserve">và </w:t>
      </w:r>
      <w:r w:rsidRPr="00332C91">
        <w:rPr>
          <w:i/>
          <w:sz w:val="24"/>
          <w:szCs w:val="24"/>
          <w:u w:val="single"/>
        </w:rPr>
        <w:t>tỉ lệ phục hồi (RR):</w:t>
      </w: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21"/>
        <w:gridCol w:w="1260"/>
        <w:gridCol w:w="1260"/>
        <w:gridCol w:w="1320"/>
      </w:tblGrid>
      <w:tr w:rsidR="00FC38CE" w:rsidRPr="00332C91" w:rsidTr="008C293B">
        <w:trPr>
          <w:trHeight w:val="402"/>
        </w:trPr>
        <w:tc>
          <w:tcPr>
            <w:tcW w:w="0" w:type="auto"/>
            <w:vMerge w:val="restart"/>
            <w:tcBorders>
              <w:tl2br w:val="single" w:sz="4" w:space="0" w:color="auto"/>
            </w:tcBorders>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right"/>
              <w:rPr>
                <w:rFonts w:eastAsia="Times New Roman"/>
                <w:b/>
                <w:sz w:val="24"/>
                <w:szCs w:val="24"/>
                <w:lang w:val="en-US" w:eastAsia="vi-VN"/>
              </w:rPr>
            </w:pPr>
            <w:r w:rsidRPr="00332C91">
              <w:rPr>
                <w:rFonts w:eastAsia="Times New Roman"/>
                <w:b/>
                <w:sz w:val="24"/>
                <w:szCs w:val="24"/>
                <w:lang w:val="en-US" w:eastAsia="vi-VN"/>
              </w:rPr>
              <w:t>Đánh giá</w:t>
            </w:r>
          </w:p>
          <w:p w:rsidR="00FC38CE" w:rsidRPr="00332C91" w:rsidRDefault="00FC38CE" w:rsidP="00B82C1C">
            <w:pPr>
              <w:spacing w:after="0" w:line="240" w:lineRule="auto"/>
              <w:contextualSpacing/>
              <w:jc w:val="left"/>
              <w:rPr>
                <w:rFonts w:eastAsia="Times New Roman"/>
                <w:b/>
                <w:sz w:val="24"/>
                <w:szCs w:val="24"/>
                <w:lang w:val="en-US" w:eastAsia="vi-VN"/>
              </w:rPr>
            </w:pPr>
            <w:r w:rsidRPr="00332C91">
              <w:rPr>
                <w:rFonts w:eastAsia="Times New Roman"/>
                <w:b/>
                <w:sz w:val="24"/>
                <w:szCs w:val="24"/>
                <w:lang w:val="en-US" w:eastAsia="vi-VN"/>
              </w:rPr>
              <w:t>RR</w:t>
            </w:r>
          </w:p>
        </w:tc>
        <w:tc>
          <w:tcPr>
            <w:tcW w:w="0" w:type="auto"/>
            <w:gridSpan w:val="2"/>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val="en-US" w:eastAsia="vi-VN"/>
              </w:rPr>
              <w:t>Liền xương</w:t>
            </w:r>
          </w:p>
        </w:tc>
        <w:tc>
          <w:tcPr>
            <w:tcW w:w="0" w:type="auto"/>
            <w:vMerge w:val="restart"/>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eastAsia="vi-VN"/>
              </w:rPr>
            </w:pPr>
            <w:r w:rsidRPr="00332C91">
              <w:rPr>
                <w:rFonts w:eastAsia="Times New Roman"/>
                <w:b/>
                <w:sz w:val="24"/>
                <w:szCs w:val="24"/>
                <w:lang w:val="en-US" w:eastAsia="vi-VN"/>
              </w:rPr>
              <w:t xml:space="preserve">Tổng cộng </w:t>
            </w:r>
          </w:p>
        </w:tc>
      </w:tr>
      <w:tr w:rsidR="00FC38CE" w:rsidRPr="00332C91" w:rsidTr="00DA6477">
        <w:trPr>
          <w:trHeight w:val="192"/>
        </w:trPr>
        <w:tc>
          <w:tcPr>
            <w:tcW w:w="0" w:type="auto"/>
            <w:vMerge/>
            <w:tcBorders>
              <w:tl2br w:val="single" w:sz="4" w:space="0" w:color="auto"/>
            </w:tcBorders>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rPr>
                <w:rFonts w:eastAsia="Times New Roman"/>
                <w:b/>
                <w:sz w:val="24"/>
                <w:szCs w:val="24"/>
                <w:lang w:eastAsia="vi-VN"/>
              </w:rPr>
            </w:pPr>
          </w:p>
        </w:tc>
        <w:tc>
          <w:tcPr>
            <w:tcW w:w="0" w:type="auto"/>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eastAsia="vi-VN"/>
              </w:rPr>
              <w:t>Không</w:t>
            </w:r>
          </w:p>
        </w:tc>
        <w:tc>
          <w:tcPr>
            <w:tcW w:w="0" w:type="auto"/>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val="en-US" w:eastAsia="vi-VN"/>
              </w:rPr>
              <w:t>Liền</w:t>
            </w:r>
          </w:p>
        </w:tc>
        <w:tc>
          <w:tcPr>
            <w:tcW w:w="0" w:type="auto"/>
            <w:vMerge/>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eastAsia="vi-VN"/>
              </w:rPr>
            </w:pPr>
          </w:p>
        </w:tc>
      </w:tr>
      <w:tr w:rsidR="00FC38CE" w:rsidRPr="00332C91" w:rsidTr="008C293B">
        <w:trPr>
          <w:trHeight w:val="200"/>
        </w:trPr>
        <w:tc>
          <w:tcPr>
            <w:tcW w:w="0" w:type="auto"/>
            <w:shd w:val="clear" w:color="auto" w:fill="E3E3E3"/>
            <w:tcMar>
              <w:top w:w="15" w:type="dxa"/>
              <w:left w:w="120" w:type="dxa"/>
              <w:bottom w:w="15" w:type="dxa"/>
              <w:right w:w="120" w:type="dxa"/>
            </w:tcMar>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val="en-US" w:eastAsia="vi-VN"/>
              </w:rPr>
              <w:t>Xấu</w:t>
            </w:r>
          </w:p>
        </w:tc>
        <w:tc>
          <w:tcPr>
            <w:tcW w:w="0" w:type="auto"/>
            <w:tcMar>
              <w:top w:w="15" w:type="dxa"/>
              <w:left w:w="120" w:type="dxa"/>
              <w:bottom w:w="15" w:type="dxa"/>
              <w:right w:w="120" w:type="dxa"/>
            </w:tcMar>
          </w:tcPr>
          <w:p w:rsidR="00FC38CE" w:rsidRPr="00332C91" w:rsidRDefault="00FC38CE" w:rsidP="00B82C1C">
            <w:pPr>
              <w:spacing w:after="0" w:line="240" w:lineRule="auto"/>
              <w:contextualSpacing/>
              <w:jc w:val="center"/>
              <w:rPr>
                <w:rFonts w:eastAsia="Times New Roman"/>
                <w:sz w:val="24"/>
                <w:szCs w:val="24"/>
                <w:lang w:val="en-US" w:eastAsia="vi-VN"/>
              </w:rPr>
            </w:pPr>
            <w:r w:rsidRPr="00332C91">
              <w:rPr>
                <w:rFonts w:eastAsia="Times New Roman"/>
                <w:sz w:val="24"/>
                <w:szCs w:val="24"/>
                <w:lang w:val="en-US" w:eastAsia="vi-VN"/>
              </w:rPr>
              <w:t>0</w:t>
            </w:r>
          </w:p>
        </w:tc>
        <w:tc>
          <w:tcPr>
            <w:tcW w:w="0" w:type="auto"/>
            <w:tcMar>
              <w:top w:w="15" w:type="dxa"/>
              <w:left w:w="120" w:type="dxa"/>
              <w:bottom w:w="15" w:type="dxa"/>
              <w:right w:w="120" w:type="dxa"/>
            </w:tcMar>
          </w:tcPr>
          <w:p w:rsidR="00FC38CE" w:rsidRPr="00332C91" w:rsidRDefault="00FC38CE" w:rsidP="00B82C1C">
            <w:pPr>
              <w:spacing w:after="0" w:line="240" w:lineRule="auto"/>
              <w:contextualSpacing/>
              <w:jc w:val="center"/>
              <w:rPr>
                <w:rFonts w:eastAsia="Times New Roman"/>
                <w:sz w:val="24"/>
                <w:szCs w:val="24"/>
                <w:lang w:val="en-US" w:eastAsia="vi-VN"/>
              </w:rPr>
            </w:pPr>
            <w:r w:rsidRPr="00332C91">
              <w:rPr>
                <w:rFonts w:eastAsia="Times New Roman"/>
                <w:sz w:val="24"/>
                <w:szCs w:val="24"/>
                <w:lang w:val="en-US" w:eastAsia="vi-VN"/>
              </w:rPr>
              <w:t>0</w:t>
            </w:r>
          </w:p>
        </w:tc>
        <w:tc>
          <w:tcPr>
            <w:tcW w:w="0" w:type="auto"/>
            <w:tcMar>
              <w:top w:w="15" w:type="dxa"/>
              <w:left w:w="120" w:type="dxa"/>
              <w:bottom w:w="15" w:type="dxa"/>
              <w:right w:w="120" w:type="dxa"/>
            </w:tcMar>
          </w:tcPr>
          <w:p w:rsidR="00FC38CE" w:rsidRPr="00332C91" w:rsidRDefault="00FC38CE" w:rsidP="00B82C1C">
            <w:pPr>
              <w:spacing w:after="0" w:line="240" w:lineRule="auto"/>
              <w:contextualSpacing/>
              <w:jc w:val="center"/>
              <w:rPr>
                <w:rFonts w:eastAsia="Times New Roman"/>
                <w:sz w:val="24"/>
                <w:szCs w:val="24"/>
                <w:lang w:val="en-US" w:eastAsia="vi-VN"/>
              </w:rPr>
            </w:pPr>
            <w:r w:rsidRPr="00332C91">
              <w:rPr>
                <w:rFonts w:eastAsia="Times New Roman"/>
                <w:sz w:val="24"/>
                <w:szCs w:val="24"/>
                <w:lang w:val="en-US" w:eastAsia="vi-VN"/>
              </w:rPr>
              <w:t>0 (0%)</w:t>
            </w:r>
          </w:p>
        </w:tc>
      </w:tr>
      <w:tr w:rsidR="00FC38CE" w:rsidRPr="00332C91" w:rsidTr="00DA6477">
        <w:trPr>
          <w:trHeight w:val="122"/>
        </w:trPr>
        <w:tc>
          <w:tcPr>
            <w:tcW w:w="0" w:type="auto"/>
            <w:shd w:val="clear" w:color="auto" w:fill="E3E3E3"/>
            <w:tcMar>
              <w:top w:w="15" w:type="dxa"/>
              <w:left w:w="120" w:type="dxa"/>
              <w:bottom w:w="15" w:type="dxa"/>
              <w:right w:w="120" w:type="dxa"/>
            </w:tcMar>
            <w:hideMark/>
          </w:tcPr>
          <w:p w:rsidR="00FC38CE" w:rsidRPr="00DA6477" w:rsidRDefault="00FC38CE" w:rsidP="00B82C1C">
            <w:pPr>
              <w:spacing w:after="0" w:line="240" w:lineRule="auto"/>
              <w:contextualSpacing/>
              <w:jc w:val="center"/>
              <w:rPr>
                <w:rFonts w:eastAsia="Times New Roman"/>
                <w:b/>
                <w:sz w:val="24"/>
                <w:szCs w:val="24"/>
                <w:lang w:val="en-US" w:eastAsia="vi-VN"/>
              </w:rPr>
            </w:pPr>
            <w:r>
              <w:rPr>
                <w:rFonts w:eastAsia="Times New Roman"/>
                <w:b/>
                <w:sz w:val="24"/>
                <w:szCs w:val="24"/>
                <w:lang w:val="en-US" w:eastAsia="vi-VN"/>
              </w:rPr>
              <w:t>Trung bình</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1</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1</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2 (4,9%)</w:t>
            </w:r>
          </w:p>
        </w:tc>
      </w:tr>
      <w:tr w:rsidR="00FC38CE" w:rsidRPr="00332C91" w:rsidTr="00DA6477">
        <w:trPr>
          <w:trHeight w:val="314"/>
        </w:trPr>
        <w:tc>
          <w:tcPr>
            <w:tcW w:w="0" w:type="auto"/>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val="en-US" w:eastAsia="vi-VN"/>
              </w:rPr>
              <w:lastRenderedPageBreak/>
              <w:t>Tốt</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3</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11</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14 (34,1%)</w:t>
            </w:r>
          </w:p>
        </w:tc>
      </w:tr>
      <w:tr w:rsidR="00FC38CE" w:rsidRPr="00332C91" w:rsidTr="00DA6477">
        <w:trPr>
          <w:trHeight w:val="108"/>
        </w:trPr>
        <w:tc>
          <w:tcPr>
            <w:tcW w:w="0" w:type="auto"/>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val="en-US" w:eastAsia="vi-VN"/>
              </w:rPr>
              <w:t>Rất tốt</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7</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18</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25 (61,0%)</w:t>
            </w:r>
          </w:p>
        </w:tc>
      </w:tr>
      <w:tr w:rsidR="00FC38CE" w:rsidRPr="00332C91" w:rsidTr="00DA6477">
        <w:trPr>
          <w:trHeight w:val="314"/>
        </w:trPr>
        <w:tc>
          <w:tcPr>
            <w:tcW w:w="0" w:type="auto"/>
            <w:shd w:val="clear" w:color="auto" w:fill="E3E3E3"/>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b/>
                <w:sz w:val="24"/>
                <w:szCs w:val="24"/>
                <w:lang w:val="en-US" w:eastAsia="vi-VN"/>
              </w:rPr>
            </w:pPr>
            <w:r w:rsidRPr="00332C91">
              <w:rPr>
                <w:rFonts w:eastAsia="Times New Roman"/>
                <w:b/>
                <w:sz w:val="24"/>
                <w:szCs w:val="24"/>
                <w:lang w:val="en-US" w:eastAsia="vi-VN"/>
              </w:rPr>
              <w:t>Tổng cộng</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11(26,8%)</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eastAsia="vi-VN"/>
              </w:rPr>
            </w:pPr>
            <w:r w:rsidRPr="00332C91">
              <w:rPr>
                <w:rFonts w:eastAsia="Times New Roman"/>
                <w:sz w:val="24"/>
                <w:szCs w:val="24"/>
                <w:lang w:eastAsia="vi-VN"/>
              </w:rPr>
              <w:t>30(73,2%)</w:t>
            </w:r>
          </w:p>
        </w:tc>
        <w:tc>
          <w:tcPr>
            <w:tcW w:w="0" w:type="auto"/>
            <w:tcMar>
              <w:top w:w="15" w:type="dxa"/>
              <w:left w:w="120" w:type="dxa"/>
              <w:bottom w:w="15" w:type="dxa"/>
              <w:right w:w="120" w:type="dxa"/>
            </w:tcMar>
            <w:hideMark/>
          </w:tcPr>
          <w:p w:rsidR="00FC38CE" w:rsidRPr="00332C91" w:rsidRDefault="00FC38CE" w:rsidP="00B82C1C">
            <w:pPr>
              <w:spacing w:after="0" w:line="240" w:lineRule="auto"/>
              <w:contextualSpacing/>
              <w:jc w:val="center"/>
              <w:rPr>
                <w:rFonts w:eastAsia="Times New Roman"/>
                <w:sz w:val="24"/>
                <w:szCs w:val="24"/>
                <w:lang w:val="en-US" w:eastAsia="vi-VN"/>
              </w:rPr>
            </w:pPr>
            <w:r w:rsidRPr="00332C91">
              <w:rPr>
                <w:rFonts w:eastAsia="Times New Roman"/>
                <w:sz w:val="24"/>
                <w:szCs w:val="24"/>
                <w:lang w:eastAsia="vi-VN"/>
              </w:rPr>
              <w:t>41</w:t>
            </w:r>
            <w:r w:rsidRPr="00332C91">
              <w:rPr>
                <w:rFonts w:eastAsia="Times New Roman"/>
                <w:sz w:val="24"/>
                <w:szCs w:val="24"/>
                <w:lang w:val="en-US" w:eastAsia="vi-VN"/>
              </w:rPr>
              <w:t xml:space="preserve"> (100%)</w:t>
            </w:r>
          </w:p>
        </w:tc>
      </w:tr>
    </w:tbl>
    <w:p w:rsidR="00FC38CE" w:rsidRPr="00332C91" w:rsidRDefault="00FC38CE" w:rsidP="00B82C1C">
      <w:pPr>
        <w:spacing w:before="120" w:after="0" w:line="240" w:lineRule="auto"/>
        <w:ind w:firstLine="680"/>
        <w:contextualSpacing/>
        <w:rPr>
          <w:sz w:val="24"/>
          <w:szCs w:val="24"/>
        </w:rPr>
      </w:pPr>
    </w:p>
    <w:p w:rsidR="00FC38CE" w:rsidRDefault="00FC38CE" w:rsidP="00B82C1C">
      <w:pPr>
        <w:spacing w:before="120" w:after="0" w:line="240" w:lineRule="auto"/>
        <w:ind w:firstLine="680"/>
        <w:contextualSpacing/>
        <w:rPr>
          <w:sz w:val="24"/>
          <w:szCs w:val="24"/>
        </w:rPr>
      </w:pPr>
    </w:p>
    <w:p w:rsidR="002701B0" w:rsidRDefault="002701B0" w:rsidP="00B82C1C">
      <w:pPr>
        <w:spacing w:after="0" w:line="240" w:lineRule="auto"/>
        <w:contextualSpacing/>
        <w:rPr>
          <w:sz w:val="24"/>
          <w:szCs w:val="24"/>
        </w:rPr>
      </w:pPr>
    </w:p>
    <w:p w:rsidR="002701B0" w:rsidRDefault="002701B0" w:rsidP="00B82C1C">
      <w:pPr>
        <w:spacing w:after="0" w:line="240" w:lineRule="auto"/>
        <w:contextualSpacing/>
        <w:rPr>
          <w:sz w:val="24"/>
          <w:szCs w:val="24"/>
        </w:rPr>
      </w:pPr>
    </w:p>
    <w:p w:rsidR="002701B0" w:rsidRDefault="002701B0" w:rsidP="00B82C1C">
      <w:pPr>
        <w:spacing w:after="0" w:line="240" w:lineRule="auto"/>
        <w:contextualSpacing/>
        <w:rPr>
          <w:sz w:val="24"/>
          <w:szCs w:val="24"/>
        </w:rPr>
      </w:pPr>
    </w:p>
    <w:p w:rsidR="002701B0" w:rsidRDefault="002701B0" w:rsidP="00B82C1C">
      <w:pPr>
        <w:spacing w:after="0" w:line="240" w:lineRule="auto"/>
        <w:contextualSpacing/>
        <w:rPr>
          <w:sz w:val="24"/>
          <w:szCs w:val="24"/>
        </w:rPr>
      </w:pPr>
    </w:p>
    <w:p w:rsidR="002701B0" w:rsidRDefault="002701B0" w:rsidP="00B82C1C">
      <w:pPr>
        <w:spacing w:after="0" w:line="240" w:lineRule="auto"/>
        <w:contextualSpacing/>
        <w:rPr>
          <w:sz w:val="24"/>
          <w:szCs w:val="24"/>
        </w:rPr>
      </w:pPr>
    </w:p>
    <w:p w:rsidR="003E6688" w:rsidRDefault="003E6688" w:rsidP="00B82C1C">
      <w:pPr>
        <w:spacing w:after="0" w:line="240" w:lineRule="auto"/>
        <w:contextualSpacing/>
        <w:rPr>
          <w:sz w:val="24"/>
          <w:szCs w:val="24"/>
        </w:rPr>
      </w:pPr>
    </w:p>
    <w:p w:rsidR="00B82C1C" w:rsidRDefault="00B82C1C" w:rsidP="00B82C1C">
      <w:pPr>
        <w:spacing w:after="0" w:line="240" w:lineRule="auto"/>
        <w:contextualSpacing/>
        <w:rPr>
          <w:sz w:val="24"/>
          <w:szCs w:val="24"/>
        </w:rPr>
      </w:pPr>
    </w:p>
    <w:p w:rsidR="00FC38CE" w:rsidRPr="00332C91" w:rsidRDefault="00FC38CE" w:rsidP="00B82C1C">
      <w:pPr>
        <w:spacing w:after="0" w:line="240" w:lineRule="auto"/>
        <w:contextualSpacing/>
        <w:rPr>
          <w:sz w:val="24"/>
          <w:szCs w:val="24"/>
        </w:rPr>
      </w:pPr>
      <w:r w:rsidRPr="00332C91">
        <w:rPr>
          <w:sz w:val="24"/>
          <w:szCs w:val="24"/>
        </w:rPr>
        <w:t>Khi kiểm bằng phép kiểm Kruskal – Wallis chúng tôi nhận thấy không có mối liên quan có ý nghĩa thống kê giữa 2 nhóm liền xương và không liền xương với tỉ lệ phục hồi (p = 0,94).</w:t>
      </w:r>
    </w:p>
    <w:p w:rsidR="00FC38CE" w:rsidRPr="00332C91" w:rsidRDefault="00FC38CE" w:rsidP="00B82C1C">
      <w:pPr>
        <w:spacing w:after="0" w:line="240" w:lineRule="auto"/>
        <w:contextualSpacing/>
        <w:rPr>
          <w:i/>
          <w:sz w:val="24"/>
          <w:szCs w:val="24"/>
          <w:u w:val="single"/>
        </w:rPr>
      </w:pPr>
      <w:r w:rsidRPr="00332C91">
        <w:rPr>
          <w:i/>
          <w:sz w:val="24"/>
          <w:szCs w:val="24"/>
          <w:u w:val="single"/>
        </w:rPr>
        <w:t>Khảo sát liền xương trên cắt lớp vi tính:</w:t>
      </w:r>
    </w:p>
    <w:p w:rsidR="00FC38CE" w:rsidRPr="00332C91" w:rsidRDefault="00FC38CE" w:rsidP="00B82C1C">
      <w:pPr>
        <w:spacing w:after="0" w:line="240" w:lineRule="auto"/>
        <w:ind w:firstLine="680"/>
        <w:contextualSpacing/>
        <w:rPr>
          <w:sz w:val="24"/>
          <w:szCs w:val="24"/>
        </w:rPr>
      </w:pPr>
      <w:r w:rsidRPr="00332C91">
        <w:rPr>
          <w:sz w:val="24"/>
          <w:szCs w:val="24"/>
        </w:rPr>
        <w:t>Cắt lớp vi tính được thực hiện ở 18 bệnh nhân với 40 tầng thoát vị, 3 trường hợp không đánh giá được do xảo ảnh kim loại, 15 trường hợp cho kết quả không khác với kết quả Xquang.</w:t>
      </w:r>
    </w:p>
    <w:p w:rsidR="00FC38CE" w:rsidRPr="00332C91" w:rsidRDefault="00FC38CE" w:rsidP="00B82C1C">
      <w:pPr>
        <w:pStyle w:val="Heading3"/>
        <w:spacing w:line="240" w:lineRule="auto"/>
        <w:contextualSpacing/>
        <w:rPr>
          <w:sz w:val="24"/>
          <w:lang w:val="vi-VN"/>
        </w:rPr>
      </w:pPr>
      <w:bookmarkStart w:id="11" w:name="_Toc399633814"/>
      <w:r w:rsidRPr="00332C91">
        <w:rPr>
          <w:sz w:val="24"/>
          <w:lang w:val="vi-VN"/>
        </w:rPr>
        <w:t>Sự thay đổi góc Cobb trung bình cột sống cổ trước mổ và lần khám cuối cùng:</w:t>
      </w:r>
      <w:bookmarkEnd w:id="11"/>
    </w:p>
    <w:p w:rsidR="00FC38CE" w:rsidRPr="00332C91" w:rsidRDefault="00FC38CE" w:rsidP="00B82C1C">
      <w:pPr>
        <w:spacing w:line="240" w:lineRule="auto"/>
        <w:contextualSpacing/>
        <w:rPr>
          <w:sz w:val="24"/>
          <w:szCs w:val="24"/>
        </w:rPr>
      </w:pPr>
      <w:r w:rsidRPr="00332C91">
        <w:rPr>
          <w:i/>
          <w:sz w:val="24"/>
          <w:szCs w:val="24"/>
          <w:u w:val="single"/>
        </w:rPr>
        <w:t>Trị số trung bình góc Cobb ở tầng hàn xương:</w:t>
      </w:r>
    </w:p>
    <w:tbl>
      <w:tblPr>
        <w:tblStyle w:val="TableGrid"/>
        <w:tblW w:w="0" w:type="auto"/>
        <w:tblLook w:val="04A0" w:firstRow="1" w:lastRow="0" w:firstColumn="1" w:lastColumn="0" w:noHBand="0" w:noVBand="1"/>
      </w:tblPr>
      <w:tblGrid>
        <w:gridCol w:w="1793"/>
        <w:gridCol w:w="1173"/>
        <w:gridCol w:w="1410"/>
        <w:gridCol w:w="1656"/>
        <w:gridCol w:w="1293"/>
      </w:tblGrid>
      <w:tr w:rsidR="00FC38CE" w:rsidRPr="00332C91" w:rsidTr="008C293B">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Tầng hàn xương</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Trước mổ</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Sau mổ sớm</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Lần khám cuối</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lang w:val="en-US"/>
              </w:rPr>
            </w:pPr>
            <w:r w:rsidRPr="00332C91">
              <w:rPr>
                <w:sz w:val="24"/>
                <w:szCs w:val="24"/>
                <w:lang w:val="en-US"/>
              </w:rPr>
              <w:t>M</w:t>
            </w:r>
            <w:r w:rsidRPr="00332C91">
              <w:rPr>
                <w:sz w:val="24"/>
                <w:szCs w:val="24"/>
              </w:rPr>
              <w:t>ất sửa</w:t>
            </w:r>
            <w:r w:rsidRPr="00332C91">
              <w:rPr>
                <w:sz w:val="24"/>
                <w:szCs w:val="24"/>
                <w:lang w:val="en-US"/>
              </w:rPr>
              <w:t xml:space="preserve"> gù</w:t>
            </w:r>
          </w:p>
        </w:tc>
      </w:tr>
      <w:tr w:rsidR="00FC38CE" w:rsidRPr="00332C91" w:rsidTr="008C293B">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Góc Cobb (độ)</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vertAlign w:val="superscript"/>
              </w:rPr>
            </w:pPr>
            <w:r w:rsidRPr="00332C91">
              <w:rPr>
                <w:sz w:val="24"/>
                <w:szCs w:val="24"/>
              </w:rPr>
              <w:t>6,9 ± 6,4</w:t>
            </w:r>
            <w:r w:rsidRPr="00332C91">
              <w:rPr>
                <w:sz w:val="24"/>
                <w:szCs w:val="24"/>
                <w:vertAlign w:val="superscript"/>
              </w:rPr>
              <w:t>0</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11,7 ± 5,7</w:t>
            </w:r>
            <w:r w:rsidRPr="00332C91">
              <w:rPr>
                <w:sz w:val="24"/>
                <w:szCs w:val="24"/>
                <w:vertAlign w:val="superscript"/>
              </w:rPr>
              <w:t>0</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rPr>
            </w:pPr>
            <w:r w:rsidRPr="00332C91">
              <w:rPr>
                <w:sz w:val="24"/>
                <w:szCs w:val="24"/>
              </w:rPr>
              <w:t>9,7 ± 4,7</w:t>
            </w:r>
            <w:r w:rsidRPr="00332C91">
              <w:rPr>
                <w:sz w:val="24"/>
                <w:szCs w:val="24"/>
                <w:vertAlign w:val="superscript"/>
              </w:rPr>
              <w:t>0</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vertAlign w:val="superscript"/>
              </w:rPr>
            </w:pPr>
            <w:r w:rsidRPr="00332C91">
              <w:rPr>
                <w:sz w:val="24"/>
                <w:szCs w:val="24"/>
              </w:rPr>
              <w:t>-2 ± 2,4</w:t>
            </w:r>
            <w:r w:rsidRPr="00332C91">
              <w:rPr>
                <w:sz w:val="24"/>
                <w:szCs w:val="24"/>
                <w:vertAlign w:val="superscript"/>
              </w:rPr>
              <w:t>0</w:t>
            </w:r>
          </w:p>
        </w:tc>
      </w:tr>
    </w:tbl>
    <w:p w:rsidR="00FC38CE" w:rsidRPr="00455CC9" w:rsidRDefault="00FC38CE" w:rsidP="00B82C1C">
      <w:pPr>
        <w:autoSpaceDE w:val="0"/>
        <w:autoSpaceDN w:val="0"/>
        <w:adjustRightInd w:val="0"/>
        <w:spacing w:before="120" w:after="0" w:line="240" w:lineRule="auto"/>
        <w:ind w:firstLine="680"/>
        <w:contextualSpacing/>
        <w:rPr>
          <w:rFonts w:ascii="Times New Roman" w:hAnsi="Times New Roman" w:cs="Times New Roman"/>
          <w:sz w:val="24"/>
          <w:szCs w:val="24"/>
        </w:rPr>
      </w:pPr>
      <w:r w:rsidRPr="00332C91">
        <w:rPr>
          <w:rFonts w:ascii="Times New Roman" w:hAnsi="Times New Roman" w:cs="Times New Roman"/>
          <w:sz w:val="24"/>
          <w:szCs w:val="24"/>
        </w:rPr>
        <w:t>Ở lần khám cuối cùng, sự mất chỉnh sửa trung bình là -2 ± 2,4</w:t>
      </w:r>
      <w:r w:rsidRPr="00332C91">
        <w:rPr>
          <w:rFonts w:ascii="Times New Roman" w:hAnsi="Times New Roman" w:cs="Times New Roman"/>
          <w:sz w:val="24"/>
          <w:szCs w:val="24"/>
          <w:vertAlign w:val="superscript"/>
        </w:rPr>
        <w:t>0</w:t>
      </w:r>
      <w:r w:rsidRPr="00332C91">
        <w:rPr>
          <w:rFonts w:ascii="Times New Roman" w:hAnsi="Times New Roman" w:cs="Times New Roman"/>
          <w:sz w:val="24"/>
          <w:szCs w:val="24"/>
        </w:rPr>
        <w:t xml:space="preserve">, tuy nhiên tầng hàn xương vẫn còn độ ưỡn, với góc Cobb có trị số trung bình là </w:t>
      </w:r>
      <w:r w:rsidRPr="00332C91">
        <w:rPr>
          <w:sz w:val="24"/>
          <w:szCs w:val="24"/>
        </w:rPr>
        <w:t>9,7 ± 4,7</w:t>
      </w:r>
      <w:r w:rsidRPr="00332C91">
        <w:rPr>
          <w:sz w:val="24"/>
          <w:szCs w:val="24"/>
          <w:vertAlign w:val="superscript"/>
        </w:rPr>
        <w:t>0</w:t>
      </w:r>
      <w:r w:rsidRPr="00332C91">
        <w:rPr>
          <w:rFonts w:ascii="Times New Roman" w:hAnsi="Times New Roman" w:cs="Times New Roman"/>
          <w:sz w:val="24"/>
          <w:szCs w:val="24"/>
        </w:rPr>
        <w:t xml:space="preserve"> (mất sửa gù được tính bằng góc Cobb ở lần khám cuối trừ cho góc Cobb sau mổ sớm).</w:t>
      </w:r>
    </w:p>
    <w:p w:rsidR="00FC38CE" w:rsidRPr="00332C91" w:rsidRDefault="00FC38CE" w:rsidP="00B82C1C">
      <w:pPr>
        <w:autoSpaceDE w:val="0"/>
        <w:autoSpaceDN w:val="0"/>
        <w:adjustRightInd w:val="0"/>
        <w:spacing w:after="0" w:line="240" w:lineRule="auto"/>
        <w:ind w:firstLine="680"/>
        <w:contextualSpacing/>
        <w:rPr>
          <w:rFonts w:ascii="Times New Roman" w:hAnsi="Times New Roman" w:cs="Times New Roman"/>
          <w:sz w:val="24"/>
          <w:szCs w:val="24"/>
        </w:rPr>
      </w:pPr>
      <w:r w:rsidRPr="00332C91">
        <w:rPr>
          <w:rFonts w:ascii="Times New Roman" w:hAnsi="Times New Roman" w:cs="Times New Roman"/>
          <w:sz w:val="24"/>
          <w:szCs w:val="24"/>
        </w:rPr>
        <w:t>Khi kiểm bằng phép kiểm T, chúng tôi nhận thấy có sự khác biệt giữa: góc Cobb trước mổ và sau mổ sớm (p &lt; 0,05)</w:t>
      </w:r>
      <w:r w:rsidRPr="00455CC9">
        <w:rPr>
          <w:rFonts w:ascii="Times New Roman" w:hAnsi="Times New Roman" w:cs="Times New Roman"/>
          <w:sz w:val="24"/>
          <w:szCs w:val="24"/>
        </w:rPr>
        <w:t xml:space="preserve">, </w:t>
      </w:r>
      <w:r w:rsidRPr="00332C91">
        <w:rPr>
          <w:rFonts w:ascii="Times New Roman" w:hAnsi="Times New Roman" w:cs="Times New Roman"/>
          <w:sz w:val="24"/>
          <w:szCs w:val="24"/>
        </w:rPr>
        <w:t>góc Cobb lần khám cuối và sau mổ sớm (p &lt; 0,05)</w:t>
      </w:r>
      <w:r w:rsidRPr="00DA6477">
        <w:rPr>
          <w:rFonts w:ascii="Times New Roman" w:hAnsi="Times New Roman" w:cs="Times New Roman"/>
          <w:sz w:val="24"/>
          <w:szCs w:val="24"/>
        </w:rPr>
        <w:t xml:space="preserve">, </w:t>
      </w:r>
      <w:r w:rsidRPr="00332C91">
        <w:rPr>
          <w:rFonts w:ascii="Times New Roman" w:hAnsi="Times New Roman" w:cs="Times New Roman"/>
          <w:sz w:val="24"/>
          <w:szCs w:val="24"/>
        </w:rPr>
        <w:t xml:space="preserve">góc Cobb lần khám cuối và trước mổ (p &lt; 0,05) </w:t>
      </w:r>
    </w:p>
    <w:p w:rsidR="00FC38CE" w:rsidRPr="00332C91" w:rsidRDefault="00FC38CE" w:rsidP="00B82C1C">
      <w:pPr>
        <w:autoSpaceDE w:val="0"/>
        <w:autoSpaceDN w:val="0"/>
        <w:adjustRightInd w:val="0"/>
        <w:spacing w:line="240" w:lineRule="auto"/>
        <w:contextualSpacing/>
        <w:rPr>
          <w:rFonts w:ascii="Times New Roman" w:hAnsi="Times New Roman" w:cs="Times New Roman"/>
          <w:i/>
          <w:sz w:val="24"/>
          <w:szCs w:val="24"/>
          <w:u w:val="single"/>
        </w:rPr>
      </w:pPr>
      <w:r w:rsidRPr="00332C91">
        <w:rPr>
          <w:rFonts w:ascii="Times New Roman" w:hAnsi="Times New Roman" w:cs="Times New Roman"/>
          <w:i/>
          <w:sz w:val="24"/>
          <w:szCs w:val="24"/>
          <w:u w:val="single"/>
        </w:rPr>
        <w:t>Trị số trung bình góc Cobb C2 – C7:</w:t>
      </w:r>
    </w:p>
    <w:tbl>
      <w:tblPr>
        <w:tblStyle w:val="TableGrid"/>
        <w:tblW w:w="0" w:type="auto"/>
        <w:tblLook w:val="04A0" w:firstRow="1" w:lastRow="0" w:firstColumn="1" w:lastColumn="0" w:noHBand="0" w:noVBand="1"/>
      </w:tblPr>
      <w:tblGrid>
        <w:gridCol w:w="1250"/>
        <w:gridCol w:w="1268"/>
        <w:gridCol w:w="1764"/>
        <w:gridCol w:w="1103"/>
      </w:tblGrid>
      <w:tr w:rsidR="00FC38CE" w:rsidRPr="00332C91" w:rsidTr="00DA6477">
        <w:tc>
          <w:tcPr>
            <w:tcW w:w="0" w:type="auto"/>
          </w:tcPr>
          <w:p w:rsidR="00FC38CE" w:rsidRPr="00332C91" w:rsidRDefault="00FC38CE" w:rsidP="00B82C1C">
            <w:pPr>
              <w:tabs>
                <w:tab w:val="left" w:pos="285"/>
                <w:tab w:val="center" w:pos="4513"/>
                <w:tab w:val="right" w:pos="9026"/>
              </w:tabs>
              <w:spacing w:line="240" w:lineRule="auto"/>
              <w:contextualSpacing/>
              <w:jc w:val="center"/>
              <w:rPr>
                <w:b/>
                <w:sz w:val="24"/>
                <w:szCs w:val="24"/>
                <w:lang w:val="en-US"/>
              </w:rPr>
            </w:pPr>
            <w:r w:rsidRPr="00332C91">
              <w:rPr>
                <w:b/>
                <w:sz w:val="24"/>
                <w:szCs w:val="24"/>
                <w:lang w:val="en-US"/>
              </w:rPr>
              <w:t>C2-C7</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b/>
                <w:sz w:val="24"/>
                <w:szCs w:val="24"/>
                <w:lang w:val="en-US"/>
              </w:rPr>
            </w:pPr>
            <w:r w:rsidRPr="00332C91">
              <w:rPr>
                <w:b/>
                <w:sz w:val="24"/>
                <w:szCs w:val="24"/>
                <w:lang w:val="en-US"/>
              </w:rPr>
              <w:t>Trước mổ</w:t>
            </w:r>
          </w:p>
        </w:tc>
        <w:tc>
          <w:tcPr>
            <w:tcW w:w="0" w:type="auto"/>
          </w:tcPr>
          <w:p w:rsidR="00FC38CE" w:rsidRPr="00332C91" w:rsidRDefault="00FC38CE" w:rsidP="00B82C1C">
            <w:pPr>
              <w:tabs>
                <w:tab w:val="left" w:pos="285"/>
                <w:tab w:val="center" w:pos="2251"/>
                <w:tab w:val="right" w:pos="9026"/>
              </w:tabs>
              <w:spacing w:line="240" w:lineRule="auto"/>
              <w:contextualSpacing/>
              <w:jc w:val="center"/>
              <w:rPr>
                <w:b/>
                <w:sz w:val="24"/>
                <w:szCs w:val="24"/>
                <w:lang w:val="en-US"/>
              </w:rPr>
            </w:pPr>
            <w:r w:rsidRPr="00332C91">
              <w:rPr>
                <w:b/>
                <w:sz w:val="24"/>
                <w:szCs w:val="24"/>
                <w:lang w:val="en-US"/>
              </w:rPr>
              <w:t>Lần khám cuối</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b/>
                <w:sz w:val="24"/>
                <w:szCs w:val="24"/>
                <w:lang w:val="en-US"/>
              </w:rPr>
            </w:pPr>
            <w:r w:rsidRPr="00332C91">
              <w:rPr>
                <w:b/>
                <w:sz w:val="24"/>
                <w:szCs w:val="24"/>
                <w:lang w:val="en-US"/>
              </w:rPr>
              <w:t>P (t-test)</w:t>
            </w:r>
          </w:p>
        </w:tc>
      </w:tr>
      <w:tr w:rsidR="00FC38CE" w:rsidRPr="00332C91" w:rsidTr="00DA6477">
        <w:tc>
          <w:tcPr>
            <w:tcW w:w="0" w:type="auto"/>
          </w:tcPr>
          <w:p w:rsidR="00FC38CE" w:rsidRPr="00332C91" w:rsidRDefault="00FC38CE" w:rsidP="00B82C1C">
            <w:pPr>
              <w:tabs>
                <w:tab w:val="left" w:pos="285"/>
                <w:tab w:val="center" w:pos="4513"/>
                <w:tab w:val="right" w:pos="9026"/>
              </w:tabs>
              <w:spacing w:line="240" w:lineRule="auto"/>
              <w:contextualSpacing/>
              <w:jc w:val="center"/>
              <w:rPr>
                <w:b/>
                <w:sz w:val="24"/>
                <w:szCs w:val="24"/>
                <w:lang w:val="en-US"/>
              </w:rPr>
            </w:pPr>
            <w:r w:rsidRPr="00332C91">
              <w:rPr>
                <w:b/>
                <w:sz w:val="24"/>
                <w:szCs w:val="24"/>
                <w:lang w:val="en-US"/>
              </w:rPr>
              <w:t>Góc Cobb</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lang w:val="en-US"/>
              </w:rPr>
            </w:pPr>
            <w:r w:rsidRPr="00332C91">
              <w:rPr>
                <w:sz w:val="24"/>
                <w:szCs w:val="24"/>
                <w:lang w:val="en-US"/>
              </w:rPr>
              <w:t>20,3 ± 9,9</w:t>
            </w:r>
            <w:r w:rsidRPr="00332C91">
              <w:rPr>
                <w:sz w:val="24"/>
                <w:szCs w:val="24"/>
                <w:vertAlign w:val="superscript"/>
                <w:lang w:val="en-US"/>
              </w:rPr>
              <w:t>0</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lang w:val="en-US"/>
              </w:rPr>
            </w:pPr>
            <w:r w:rsidRPr="00332C91">
              <w:rPr>
                <w:sz w:val="24"/>
                <w:szCs w:val="24"/>
                <w:lang w:val="en-US"/>
              </w:rPr>
              <w:t>22,4 ± 6,9</w:t>
            </w:r>
            <w:r w:rsidRPr="00332C91">
              <w:rPr>
                <w:sz w:val="24"/>
                <w:szCs w:val="24"/>
                <w:vertAlign w:val="superscript"/>
                <w:lang w:val="en-US"/>
              </w:rPr>
              <w:t>0</w:t>
            </w:r>
          </w:p>
        </w:tc>
        <w:tc>
          <w:tcPr>
            <w:tcW w:w="0" w:type="auto"/>
          </w:tcPr>
          <w:p w:rsidR="00FC38CE" w:rsidRPr="00332C91" w:rsidRDefault="00FC38CE" w:rsidP="00B82C1C">
            <w:pPr>
              <w:tabs>
                <w:tab w:val="left" w:pos="285"/>
                <w:tab w:val="center" w:pos="4513"/>
                <w:tab w:val="right" w:pos="9026"/>
              </w:tabs>
              <w:spacing w:line="240" w:lineRule="auto"/>
              <w:contextualSpacing/>
              <w:jc w:val="center"/>
              <w:rPr>
                <w:sz w:val="24"/>
                <w:szCs w:val="24"/>
                <w:lang w:val="en-US"/>
              </w:rPr>
            </w:pPr>
            <w:r w:rsidRPr="00332C91">
              <w:rPr>
                <w:sz w:val="24"/>
                <w:szCs w:val="24"/>
                <w:lang w:val="en-US"/>
              </w:rPr>
              <w:t>0,65</w:t>
            </w:r>
          </w:p>
        </w:tc>
      </w:tr>
    </w:tbl>
    <w:p w:rsidR="00FC38CE" w:rsidRPr="00332C91" w:rsidRDefault="00FC38CE" w:rsidP="00E13A47">
      <w:pPr>
        <w:spacing w:after="0" w:line="240" w:lineRule="auto"/>
        <w:contextualSpacing/>
        <w:rPr>
          <w:b/>
          <w:sz w:val="24"/>
          <w:szCs w:val="24"/>
        </w:rPr>
      </w:pPr>
      <w:r w:rsidRPr="00332C91">
        <w:rPr>
          <w:sz w:val="24"/>
          <w:szCs w:val="24"/>
        </w:rPr>
        <w:tab/>
        <w:t>Ở lần khám cuối cùng cột sống cổ giữ được độ ưỡn với trị số trung bình của góc Cobb là 22,4 ± 6,9</w:t>
      </w:r>
      <w:r w:rsidRPr="00332C91">
        <w:rPr>
          <w:sz w:val="24"/>
          <w:szCs w:val="24"/>
          <w:vertAlign w:val="superscript"/>
        </w:rPr>
        <w:t>0</w:t>
      </w:r>
      <w:r w:rsidRPr="00332C91">
        <w:rPr>
          <w:sz w:val="24"/>
          <w:szCs w:val="24"/>
        </w:rPr>
        <w:t>.</w:t>
      </w:r>
    </w:p>
    <w:p w:rsidR="00FC38CE" w:rsidRPr="00332C91" w:rsidRDefault="00FC38CE" w:rsidP="00B82C1C">
      <w:pPr>
        <w:tabs>
          <w:tab w:val="left" w:pos="285"/>
          <w:tab w:val="center" w:pos="4513"/>
          <w:tab w:val="right" w:pos="9026"/>
        </w:tabs>
        <w:spacing w:after="0" w:line="240" w:lineRule="auto"/>
        <w:contextualSpacing/>
        <w:rPr>
          <w:b/>
          <w:sz w:val="24"/>
          <w:szCs w:val="24"/>
        </w:rPr>
      </w:pPr>
      <w:r w:rsidRPr="00332C91">
        <w:rPr>
          <w:i/>
          <w:sz w:val="24"/>
          <w:szCs w:val="24"/>
          <w:u w:val="single"/>
        </w:rPr>
        <w:t>Lún và di chuyển lồng PEEK trên XQ</w:t>
      </w:r>
    </w:p>
    <w:p w:rsidR="00FC38CE" w:rsidRPr="00332C91" w:rsidRDefault="00FC38CE" w:rsidP="00E13A47">
      <w:pPr>
        <w:spacing w:after="0" w:line="240" w:lineRule="auto"/>
        <w:ind w:firstLine="720"/>
        <w:contextualSpacing/>
        <w:rPr>
          <w:sz w:val="24"/>
          <w:szCs w:val="24"/>
        </w:rPr>
      </w:pPr>
      <w:r w:rsidRPr="00332C91">
        <w:rPr>
          <w:sz w:val="24"/>
          <w:szCs w:val="24"/>
        </w:rPr>
        <w:t>Trên XQ quan sát được 4 trường hợp di chuyển lồng PEEK ra trước, trong đó có 1 trường hợp vừa có lún + không liền xương, 2 trường hợp di chuyển ra trước + không liền xương và 1 trường hợp di chuyển ra trước có liền xương. Tất cả các bệnh nhân này không có than phiền gì về các triệu chứng nuốt nghẹn hay khó nuốt ở lần khám cuối.</w:t>
      </w:r>
    </w:p>
    <w:p w:rsidR="00FC38CE" w:rsidRPr="00332C91" w:rsidRDefault="00FC38CE" w:rsidP="00B82C1C">
      <w:pPr>
        <w:pStyle w:val="Heading2"/>
        <w:contextualSpacing/>
      </w:pPr>
      <w:bookmarkStart w:id="12" w:name="_Toc399633815"/>
      <w:r w:rsidRPr="00332C91">
        <w:t>Biến chứng</w:t>
      </w:r>
      <w:bookmarkEnd w:id="12"/>
    </w:p>
    <w:p w:rsidR="00FC38CE" w:rsidRDefault="00FC38CE" w:rsidP="00B82C1C">
      <w:pPr>
        <w:autoSpaceDE w:val="0"/>
        <w:autoSpaceDN w:val="0"/>
        <w:adjustRightInd w:val="0"/>
        <w:spacing w:after="0" w:line="240" w:lineRule="auto"/>
        <w:ind w:firstLine="680"/>
        <w:contextualSpacing/>
        <w:rPr>
          <w:rFonts w:ascii="Times New Roman" w:hAnsi="Times New Roman" w:cs="Times New Roman"/>
          <w:sz w:val="24"/>
          <w:szCs w:val="24"/>
        </w:rPr>
      </w:pPr>
      <w:r w:rsidRPr="00332C91">
        <w:rPr>
          <w:rFonts w:ascii="Times New Roman" w:hAnsi="Times New Roman" w:cs="Times New Roman"/>
          <w:sz w:val="24"/>
          <w:szCs w:val="24"/>
        </w:rPr>
        <w:t>11 trường hợp khàn tiếng sau mổ, trong đó 3 bệnh nhân có kèm nuốt sặc. Các triệu chứng này tự thuyên giảm và hết sau vài tuần đến vài tháng.12 trường hợp nuốt đau sau mổ, các triệu chứng này tự hết sau 3 – 6 ngày.</w:t>
      </w:r>
    </w:p>
    <w:p w:rsidR="00FC38CE" w:rsidRPr="00332C91" w:rsidRDefault="00FC38CE" w:rsidP="00B82C1C">
      <w:pPr>
        <w:pStyle w:val="Heading1"/>
        <w:spacing w:line="240" w:lineRule="auto"/>
        <w:ind w:left="0" w:firstLine="0"/>
        <w:contextualSpacing/>
      </w:pPr>
      <w:bookmarkStart w:id="13" w:name="_Toc399633816"/>
      <w:r w:rsidRPr="00332C91">
        <w:t>BÀN LUẬN</w:t>
      </w:r>
      <w:bookmarkEnd w:id="13"/>
    </w:p>
    <w:p w:rsidR="00FC38CE" w:rsidRPr="00332C91" w:rsidRDefault="00FC38CE" w:rsidP="00B82C1C">
      <w:pPr>
        <w:pStyle w:val="Heading2"/>
        <w:contextualSpacing/>
      </w:pPr>
      <w:bookmarkStart w:id="14" w:name="_Toc399633824"/>
      <w:r w:rsidRPr="00332C91">
        <w:t>Đánh giá kết quả về mặt lâm sàng</w:t>
      </w:r>
      <w:bookmarkEnd w:id="14"/>
    </w:p>
    <w:p w:rsidR="00FC38CE" w:rsidRPr="00332C91" w:rsidRDefault="00FC38CE" w:rsidP="00B82C1C">
      <w:pPr>
        <w:autoSpaceDE w:val="0"/>
        <w:autoSpaceDN w:val="0"/>
        <w:adjustRightInd w:val="0"/>
        <w:spacing w:after="0" w:line="240" w:lineRule="auto"/>
        <w:ind w:firstLine="680"/>
        <w:contextualSpacing/>
        <w:rPr>
          <w:rFonts w:ascii="Times New Roman" w:hAnsi="Times New Roman" w:cs="Times New Roman"/>
          <w:sz w:val="24"/>
          <w:szCs w:val="24"/>
        </w:rPr>
      </w:pPr>
      <w:r w:rsidRPr="00332C91">
        <w:rPr>
          <w:rFonts w:ascii="Times New Roman" w:hAnsi="Times New Roman" w:cs="Times New Roman"/>
          <w:sz w:val="24"/>
          <w:szCs w:val="24"/>
        </w:rPr>
        <w:t>Độ tuổi thường gặp trong nghiên cứu của chúng tôi từ 40 – 59 tuổi, trung bình là 49 tuổi. Đây là lứa tuổi hiện tượng thoái hóa biểu hiện rõ, tần suất xảy ra thoát vị đĩa đệm cột sống cổ nhiều hơn. Vị trí thoát vị gặp nhiều nhất là C5 – 6, có thể do tầng C5- 6 đóng vai trò như điểm tựa của một đòn bẩy trong cử động của cột sống cổ, có tầm vận động nhiều nhất do đó dễ bị thoái hóa sớm và gây ra thoát vị.</w:t>
      </w:r>
      <w:r>
        <w:rPr>
          <w:rFonts w:ascii="Times New Roman" w:hAnsi="Times New Roman" w:cs="Times New Roman"/>
          <w:noProof/>
          <w:sz w:val="24"/>
          <w:szCs w:val="24"/>
          <w:vertAlign w:val="superscript"/>
        </w:rPr>
        <w:t>[18]</w:t>
      </w:r>
    </w:p>
    <w:p w:rsidR="00FC38CE" w:rsidRPr="00332C91" w:rsidRDefault="00FC38CE" w:rsidP="00B82C1C">
      <w:pPr>
        <w:autoSpaceDE w:val="0"/>
        <w:autoSpaceDN w:val="0"/>
        <w:adjustRightInd w:val="0"/>
        <w:spacing w:after="0" w:line="240" w:lineRule="auto"/>
        <w:contextualSpacing/>
        <w:rPr>
          <w:sz w:val="24"/>
          <w:szCs w:val="24"/>
        </w:rPr>
      </w:pPr>
      <w:r w:rsidRPr="00332C91">
        <w:rPr>
          <w:rFonts w:ascii="Times New Roman" w:hAnsi="Times New Roman" w:cs="Times New Roman"/>
          <w:b/>
          <w:sz w:val="24"/>
          <w:szCs w:val="24"/>
        </w:rPr>
        <w:lastRenderedPageBreak/>
        <w:tab/>
      </w:r>
      <w:r w:rsidRPr="00332C91">
        <w:rPr>
          <w:rFonts w:ascii="Times New Roman" w:hAnsi="Times New Roman" w:cs="Times New Roman"/>
          <w:sz w:val="24"/>
          <w:szCs w:val="24"/>
        </w:rPr>
        <w:t xml:space="preserve">92,7% bệnh nhân có đau cổ trước mổ trong đó 75,6% đau nặng đến đau dữ dội. Đau là triệu chứng chính yếu khiến bệnh nhân đi khám bệnh. Điểm VAS trung bình trước mổ trong nghiên cứu chúng tôi là </w:t>
      </w:r>
      <w:r w:rsidRPr="00332C91">
        <w:rPr>
          <w:sz w:val="24"/>
          <w:szCs w:val="24"/>
        </w:rPr>
        <w:t xml:space="preserve">7,07 và trong lần khám cuối là 0,66 (p &lt; 0,05). </w:t>
      </w:r>
      <w:r w:rsidRPr="00833998">
        <w:rPr>
          <w:sz w:val="24"/>
          <w:szCs w:val="24"/>
        </w:rPr>
        <w:t>JOA</w:t>
      </w:r>
      <w:r w:rsidRPr="00332C91">
        <w:rPr>
          <w:sz w:val="24"/>
          <w:szCs w:val="24"/>
        </w:rPr>
        <w:t xml:space="preserve"> trung bình trước mổ từ 10,95 tăng lên 15,63 sau mổ (p&lt;0,05).Điều này chứng tỏ phẫu thuật cắt đĩa lối trước có hiệu quả đối với bệnh lý thoát vị đĩa đệm cột sống cổ. </w:t>
      </w:r>
    </w:p>
    <w:p w:rsidR="00FC38CE" w:rsidRPr="00332C91" w:rsidRDefault="00FC38CE" w:rsidP="00B82C1C">
      <w:pPr>
        <w:pStyle w:val="Heading2"/>
        <w:contextualSpacing/>
      </w:pPr>
      <w:bookmarkStart w:id="15" w:name="_Toc399633825"/>
      <w:r w:rsidRPr="00332C91">
        <w:t>Đánh giá kết quả liền xương trên XQ</w:t>
      </w:r>
      <w:bookmarkEnd w:id="15"/>
    </w:p>
    <w:p w:rsidR="00FC38CE" w:rsidRPr="00332C91" w:rsidRDefault="00FC38CE" w:rsidP="00B82C1C">
      <w:pPr>
        <w:autoSpaceDE w:val="0"/>
        <w:autoSpaceDN w:val="0"/>
        <w:adjustRightInd w:val="0"/>
        <w:spacing w:after="0" w:line="240" w:lineRule="auto"/>
        <w:contextualSpacing/>
        <w:rPr>
          <w:sz w:val="24"/>
          <w:szCs w:val="24"/>
        </w:rPr>
      </w:pPr>
      <w:r w:rsidRPr="00332C91">
        <w:rPr>
          <w:rFonts w:ascii="Times New Roman" w:hAnsi="Times New Roman" w:cs="Times New Roman"/>
          <w:sz w:val="24"/>
          <w:szCs w:val="24"/>
        </w:rPr>
        <w:tab/>
        <w:t xml:space="preserve">Việc đánh giá liền xương cho hàn xương cột sống cổ cho đến nay vẫn chưa có một tiêu chuẩn thống nhất.Hơn 50 năm trước, Robinson là người đầu tiên đưa ra tiêu chuẩn đánh giá liền xương khi hàn xương liên thân đốt cột sống cổ, đó là </w:t>
      </w:r>
      <w:r w:rsidRPr="00833998">
        <w:rPr>
          <w:rFonts w:ascii="Times New Roman" w:hAnsi="Times New Roman" w:cs="Times New Roman"/>
          <w:i/>
          <w:sz w:val="24"/>
          <w:szCs w:val="24"/>
        </w:rPr>
        <w:t>“có bè xương bắt cầu và không thấy sự cử động trên XQ cột sống cổ nghiêng cúi và ngửa”</w:t>
      </w:r>
      <w:r>
        <w:rPr>
          <w:rFonts w:ascii="Times New Roman" w:hAnsi="Times New Roman" w:cs="Times New Roman"/>
          <w:noProof/>
          <w:sz w:val="24"/>
          <w:szCs w:val="24"/>
          <w:vertAlign w:val="superscript"/>
        </w:rPr>
        <w:t>[12]</w:t>
      </w:r>
      <w:r w:rsidRPr="00332C91">
        <w:rPr>
          <w:rFonts w:ascii="Times New Roman" w:hAnsi="Times New Roman" w:cs="Times New Roman"/>
          <w:sz w:val="24"/>
          <w:szCs w:val="24"/>
        </w:rPr>
        <w:t>. Sethi</w:t>
      </w:r>
      <w:r>
        <w:rPr>
          <w:rFonts w:ascii="Times New Roman" w:hAnsi="Times New Roman" w:cs="Times New Roman"/>
          <w:noProof/>
          <w:sz w:val="24"/>
          <w:szCs w:val="24"/>
          <w:vertAlign w:val="superscript"/>
        </w:rPr>
        <w:t>[13]</w:t>
      </w:r>
      <w:r w:rsidRPr="00332C91">
        <w:rPr>
          <w:rFonts w:ascii="Times New Roman" w:hAnsi="Times New Roman" w:cs="Times New Roman"/>
          <w:sz w:val="24"/>
          <w:szCs w:val="24"/>
        </w:rPr>
        <w:t xml:space="preserve"> nhận thấy từ </w:t>
      </w:r>
      <w:r>
        <w:rPr>
          <w:rFonts w:ascii="Times New Roman" w:hAnsi="Times New Roman" w:cs="Times New Roman"/>
          <w:sz w:val="24"/>
          <w:szCs w:val="24"/>
        </w:rPr>
        <w:t xml:space="preserve">từ </w:t>
      </w:r>
      <w:r w:rsidRPr="00332C91">
        <w:rPr>
          <w:rFonts w:ascii="Times New Roman" w:hAnsi="Times New Roman" w:cs="Times New Roman"/>
          <w:sz w:val="24"/>
          <w:szCs w:val="24"/>
        </w:rPr>
        <w:t xml:space="preserve">năm 2000, các báo cáo đã có khuynh hướng hướng đến một sự đồng thuận về tiêu chuẩn đánh giá liền xương. </w:t>
      </w:r>
      <w:r w:rsidRPr="00332C91">
        <w:rPr>
          <w:sz w:val="24"/>
          <w:szCs w:val="24"/>
        </w:rPr>
        <w:t>Để khẳng định chắc chắn tình trạng liền xương trong phẫu thuật hàn xương liên thân đốt cột sống cổ thì tiêu chuẩn vàng là phẫu thuật thám sát. Tuy nhiên đây là phương pháp xâm nhập và không thể thực hiện được trong thực tế. Do đó, v</w:t>
      </w:r>
      <w:r w:rsidRPr="00332C91">
        <w:rPr>
          <w:rFonts w:ascii="Times New Roman" w:hAnsi="Times New Roman" w:cs="Times New Roman"/>
          <w:sz w:val="24"/>
          <w:szCs w:val="24"/>
        </w:rPr>
        <w:t>iệc dựa vào tiêu chuẩn kể trên đế đánh giá liền xương được xem phương pháp chặt chẽ và dễ thực hiện</w:t>
      </w:r>
      <w:r>
        <w:rPr>
          <w:rFonts w:ascii="Times New Roman" w:hAnsi="Times New Roman" w:cs="Times New Roman"/>
          <w:noProof/>
          <w:sz w:val="24"/>
          <w:szCs w:val="24"/>
          <w:vertAlign w:val="superscript"/>
        </w:rPr>
        <w:t>[10, 13]</w:t>
      </w:r>
      <w:r w:rsidRPr="00332C91">
        <w:rPr>
          <w:rFonts w:ascii="Times New Roman" w:hAnsi="Times New Roman" w:cs="Times New Roman"/>
          <w:sz w:val="24"/>
          <w:szCs w:val="24"/>
        </w:rPr>
        <w:t xml:space="preserve">. </w:t>
      </w:r>
      <w:r w:rsidRPr="00332C91">
        <w:rPr>
          <w:sz w:val="24"/>
          <w:szCs w:val="24"/>
        </w:rPr>
        <w:t>Chúng tôi chọn cách đo khoảng cách mấu gai với mốc 2mm làm một yếu tố trong tiêu chuẩn đánh giá liền xương. Theo Cannada</w:t>
      </w:r>
      <w:r>
        <w:rPr>
          <w:noProof/>
          <w:sz w:val="24"/>
          <w:szCs w:val="24"/>
          <w:vertAlign w:val="superscript"/>
        </w:rPr>
        <w:t>[1]</w:t>
      </w:r>
      <w:r w:rsidRPr="00332C91">
        <w:rPr>
          <w:sz w:val="24"/>
          <w:szCs w:val="24"/>
        </w:rPr>
        <w:t xml:space="preserve"> thì cách đo khoảng cách mấu gai chính xác hơn cách đo góc Cobb. </w:t>
      </w:r>
    </w:p>
    <w:p w:rsidR="00FC38CE" w:rsidRDefault="00FC38CE" w:rsidP="00B82C1C">
      <w:pPr>
        <w:autoSpaceDE w:val="0"/>
        <w:autoSpaceDN w:val="0"/>
        <w:adjustRightInd w:val="0"/>
        <w:spacing w:after="0" w:line="240" w:lineRule="auto"/>
        <w:ind w:firstLine="680"/>
        <w:contextualSpacing/>
        <w:rPr>
          <w:sz w:val="24"/>
          <w:szCs w:val="24"/>
        </w:rPr>
      </w:pPr>
      <w:r w:rsidRPr="00332C91">
        <w:rPr>
          <w:sz w:val="24"/>
          <w:szCs w:val="24"/>
        </w:rPr>
        <w:t xml:space="preserve">Để đạt được hàn xương thành công, chất liệu nhồi trong lồng cũng là một điểm quan trọng. </w:t>
      </w:r>
      <w:r w:rsidRPr="00C40968">
        <w:rPr>
          <w:sz w:val="24"/>
          <w:szCs w:val="24"/>
        </w:rPr>
        <w:t>Cho</w:t>
      </w:r>
      <w:r w:rsidRPr="00535B97">
        <w:rPr>
          <w:noProof/>
          <w:sz w:val="24"/>
          <w:szCs w:val="24"/>
          <w:vertAlign w:val="superscript"/>
        </w:rPr>
        <w:t>[3]</w:t>
      </w:r>
      <w:r w:rsidRPr="00C40968">
        <w:rPr>
          <w:sz w:val="24"/>
          <w:szCs w:val="24"/>
        </w:rPr>
        <w:t xml:space="preserve"> sử dụng lồng PEEK nhồi xương xốp đồng loại cho 60 bệnh nhân với 70 tầng hàn xương đã đạt được tỉ lệ liền xương là 100%</w:t>
      </w:r>
      <w:r w:rsidRPr="00597CDA">
        <w:rPr>
          <w:sz w:val="24"/>
          <w:szCs w:val="24"/>
        </w:rPr>
        <w:t>.</w:t>
      </w:r>
      <w:r w:rsidRPr="00332C91">
        <w:rPr>
          <w:sz w:val="24"/>
          <w:szCs w:val="24"/>
        </w:rPr>
        <w:t>Cho</w:t>
      </w:r>
      <w:r>
        <w:rPr>
          <w:noProof/>
          <w:sz w:val="24"/>
          <w:szCs w:val="24"/>
          <w:vertAlign w:val="superscript"/>
        </w:rPr>
        <w:t>[4]</w:t>
      </w:r>
      <w:r w:rsidRPr="00332C91">
        <w:rPr>
          <w:sz w:val="24"/>
          <w:szCs w:val="24"/>
        </w:rPr>
        <w:t xml:space="preserve"> so sánh kết quả điều trị của 40 trường hợp sử dụng lồng PEEK nhồi xương xốp mào chậu tự thân với 40 trường hợp sử dụng mảnh ghép mào chậu tự thân nhận thấy tỉ lệ liền xương ở nhóm dùng PEEK là 100% và nhóm dùng mảnh ghép mào chậu là 93%, biến chứng thấp hơn ở nhóm dùng PEEK. Tuy vậy, dù có kết quả lâm sàng tốt, ở nhóm sử dụng PEEK vẫn phải mở một vết mổ dù nhỏ, để lấy xương xốp ở mào chậu.</w:t>
      </w:r>
      <w:r w:rsidRPr="000F6F5D">
        <w:rPr>
          <w:sz w:val="24"/>
          <w:szCs w:val="24"/>
        </w:rPr>
        <w:t>T</w:t>
      </w:r>
      <w:r w:rsidRPr="00C40968">
        <w:rPr>
          <w:sz w:val="24"/>
          <w:szCs w:val="24"/>
        </w:rPr>
        <w:t>ỉ lệ liền xương trong nghiên cứu</w:t>
      </w:r>
      <w:r w:rsidRPr="000F6F5D">
        <w:rPr>
          <w:sz w:val="24"/>
          <w:szCs w:val="24"/>
        </w:rPr>
        <w:t xml:space="preserve"> chúng tôilà 72%</w:t>
      </w:r>
      <w:r w:rsidRPr="00C40968">
        <w:rPr>
          <w:sz w:val="24"/>
          <w:szCs w:val="24"/>
        </w:rPr>
        <w:t>.</w:t>
      </w:r>
      <w:r w:rsidRPr="002C2664">
        <w:rPr>
          <w:sz w:val="24"/>
          <w:szCs w:val="24"/>
        </w:rPr>
        <w:t xml:space="preserve"> S</w:t>
      </w:r>
      <w:r w:rsidRPr="00C40968">
        <w:rPr>
          <w:sz w:val="24"/>
          <w:szCs w:val="24"/>
        </w:rPr>
        <w:t xml:space="preserve">ự khác biệt này </w:t>
      </w:r>
      <w:r w:rsidRPr="000F6F5D">
        <w:rPr>
          <w:sz w:val="24"/>
          <w:szCs w:val="24"/>
        </w:rPr>
        <w:t>có thể</w:t>
      </w:r>
      <w:r w:rsidRPr="00C40968">
        <w:rPr>
          <w:sz w:val="24"/>
          <w:szCs w:val="24"/>
        </w:rPr>
        <w:t xml:space="preserve"> do sự khác nhau </w:t>
      </w:r>
      <w:r w:rsidRPr="000F6F5D">
        <w:rPr>
          <w:sz w:val="24"/>
          <w:szCs w:val="24"/>
        </w:rPr>
        <w:t xml:space="preserve">về </w:t>
      </w:r>
      <w:r w:rsidRPr="00C40968">
        <w:rPr>
          <w:sz w:val="24"/>
          <w:szCs w:val="24"/>
        </w:rPr>
        <w:t xml:space="preserve">vật liệu nhồi vào lồng PEEK. </w:t>
      </w:r>
      <w:r w:rsidRPr="00535B97">
        <w:rPr>
          <w:sz w:val="24"/>
          <w:szCs w:val="24"/>
        </w:rPr>
        <w:t>Tuy vậy</w:t>
      </w:r>
      <w:r w:rsidRPr="00597CDA">
        <w:rPr>
          <w:sz w:val="24"/>
          <w:szCs w:val="24"/>
        </w:rPr>
        <w:t>, t</w:t>
      </w:r>
      <w:r w:rsidRPr="00C40968">
        <w:rPr>
          <w:sz w:val="24"/>
          <w:szCs w:val="24"/>
        </w:rPr>
        <w:t>heo Yang</w:t>
      </w:r>
      <w:r w:rsidRPr="00535B97">
        <w:rPr>
          <w:noProof/>
          <w:sz w:val="24"/>
          <w:szCs w:val="24"/>
          <w:vertAlign w:val="superscript"/>
        </w:rPr>
        <w:t>[19]</w:t>
      </w:r>
      <w:r w:rsidRPr="00C40968">
        <w:rPr>
          <w:sz w:val="24"/>
          <w:szCs w:val="24"/>
        </w:rPr>
        <w:t xml:space="preserve"> tỉ lệ liền xương trong một số nghiên cứu có thể bị đánh giá cao do sai sót trong đo đạc. </w:t>
      </w:r>
    </w:p>
    <w:p w:rsidR="00FC38CE" w:rsidRPr="00332C91" w:rsidRDefault="00FC38CE" w:rsidP="00B82C1C">
      <w:pPr>
        <w:tabs>
          <w:tab w:val="left" w:pos="567"/>
        </w:tabs>
        <w:autoSpaceDE w:val="0"/>
        <w:autoSpaceDN w:val="0"/>
        <w:adjustRightInd w:val="0"/>
        <w:spacing w:after="0" w:line="240" w:lineRule="auto"/>
        <w:contextualSpacing/>
        <w:rPr>
          <w:sz w:val="24"/>
          <w:szCs w:val="24"/>
        </w:rPr>
      </w:pPr>
      <w:r w:rsidRPr="00C40968">
        <w:rPr>
          <w:sz w:val="24"/>
          <w:szCs w:val="24"/>
        </w:rPr>
        <w:tab/>
      </w:r>
      <w:r w:rsidRPr="00C40968">
        <w:rPr>
          <w:sz w:val="24"/>
          <w:szCs w:val="24"/>
        </w:rPr>
        <w:tab/>
      </w:r>
      <w:r w:rsidRPr="00332C91">
        <w:rPr>
          <w:rFonts w:ascii="Times New Roman" w:hAnsi="Times New Roman"/>
          <w:sz w:val="24"/>
          <w:szCs w:val="24"/>
        </w:rPr>
        <w:t>Wang</w:t>
      </w:r>
      <w:r>
        <w:rPr>
          <w:rFonts w:ascii="Times New Roman" w:hAnsi="Times New Roman"/>
          <w:noProof/>
          <w:sz w:val="24"/>
          <w:szCs w:val="24"/>
          <w:vertAlign w:val="superscript"/>
        </w:rPr>
        <w:t>[16, 17]</w:t>
      </w:r>
      <w:r w:rsidRPr="00C40968">
        <w:rPr>
          <w:rFonts w:ascii="Times New Roman" w:hAnsi="Times New Roman"/>
          <w:sz w:val="24"/>
          <w:szCs w:val="24"/>
        </w:rPr>
        <w:t xml:space="preserve">nhận thấy rằng đặt nẹp ốc đối với </w:t>
      </w:r>
      <w:r w:rsidRPr="00332C91">
        <w:rPr>
          <w:rFonts w:ascii="Times New Roman" w:hAnsi="Times New Roman"/>
          <w:sz w:val="24"/>
          <w:szCs w:val="24"/>
        </w:rPr>
        <w:t>hàn xương nhiều tầng</w:t>
      </w:r>
      <w:r w:rsidRPr="00C40968">
        <w:rPr>
          <w:rFonts w:ascii="Times New Roman" w:hAnsi="Times New Roman"/>
          <w:sz w:val="24"/>
          <w:szCs w:val="24"/>
        </w:rPr>
        <w:t xml:space="preserve"> đạt được </w:t>
      </w:r>
      <w:r w:rsidRPr="00332C91">
        <w:rPr>
          <w:rFonts w:ascii="Times New Roman" w:hAnsi="Times New Roman"/>
          <w:sz w:val="24"/>
          <w:szCs w:val="24"/>
        </w:rPr>
        <w:t>liền xương đạt tỉ lệ cao hơn, tuy nhiên đối với hàn xương ba tầng vẫn có tỉ lệ không liền xương cao (18%), mặc dù sử dụng nẹp ốc có làm giảm tỉ lệ không liền xương</w:t>
      </w:r>
      <w:r w:rsidRPr="00C40968">
        <w:rPr>
          <w:rFonts w:ascii="Times New Roman" w:hAnsi="Times New Roman"/>
          <w:sz w:val="24"/>
          <w:szCs w:val="24"/>
        </w:rPr>
        <w:t>. Do đó để</w:t>
      </w:r>
      <w:r w:rsidRPr="00887255">
        <w:rPr>
          <w:rFonts w:ascii="Times New Roman" w:hAnsi="Times New Roman"/>
          <w:sz w:val="24"/>
          <w:szCs w:val="24"/>
        </w:rPr>
        <w:t>giảm</w:t>
      </w:r>
      <w:r w:rsidRPr="00C40968">
        <w:rPr>
          <w:rFonts w:ascii="Times New Roman" w:hAnsi="Times New Roman"/>
          <w:sz w:val="24"/>
          <w:szCs w:val="24"/>
        </w:rPr>
        <w:t xml:space="preserve"> biến chứng từ nẹp ốc và </w:t>
      </w:r>
      <w:r w:rsidRPr="00C35259">
        <w:rPr>
          <w:rFonts w:ascii="Times New Roman" w:hAnsi="Times New Roman"/>
          <w:sz w:val="24"/>
          <w:szCs w:val="24"/>
        </w:rPr>
        <w:t xml:space="preserve">việc lấy </w:t>
      </w:r>
      <w:r w:rsidRPr="00C40968">
        <w:rPr>
          <w:rFonts w:ascii="Times New Roman" w:hAnsi="Times New Roman"/>
          <w:sz w:val="24"/>
          <w:szCs w:val="24"/>
        </w:rPr>
        <w:t>ghép, một số tác giả như</w:t>
      </w:r>
      <w:r w:rsidRPr="00C40968">
        <w:rPr>
          <w:sz w:val="24"/>
          <w:szCs w:val="24"/>
        </w:rPr>
        <w:t xml:space="preserve"> Cho</w:t>
      </w:r>
      <w:r w:rsidRPr="00535B97">
        <w:rPr>
          <w:noProof/>
          <w:sz w:val="24"/>
          <w:szCs w:val="24"/>
          <w:vertAlign w:val="superscript"/>
        </w:rPr>
        <w:t>[3]</w:t>
      </w:r>
      <w:r w:rsidRPr="00332C91">
        <w:rPr>
          <w:sz w:val="24"/>
          <w:szCs w:val="24"/>
        </w:rPr>
        <w:t>, Chen</w:t>
      </w:r>
      <w:r>
        <w:rPr>
          <w:noProof/>
          <w:sz w:val="24"/>
          <w:szCs w:val="24"/>
          <w:vertAlign w:val="superscript"/>
        </w:rPr>
        <w:t>[2]</w:t>
      </w:r>
      <w:r w:rsidRPr="00332C91">
        <w:rPr>
          <w:sz w:val="24"/>
          <w:szCs w:val="24"/>
        </w:rPr>
        <w:t xml:space="preserve"> Liu</w:t>
      </w:r>
      <w:r>
        <w:rPr>
          <w:noProof/>
          <w:sz w:val="24"/>
          <w:szCs w:val="24"/>
          <w:vertAlign w:val="superscript"/>
        </w:rPr>
        <w:t>[8]</w:t>
      </w:r>
      <w:r w:rsidRPr="00332C91">
        <w:rPr>
          <w:rFonts w:ascii="Times New Roman" w:hAnsi="Times New Roman"/>
          <w:sz w:val="24"/>
          <w:szCs w:val="24"/>
        </w:rPr>
        <w:t>đã sử dụng lồng PEEK đơn thuần kết hợp với xương tự thân hoặc xương khử khoáng trong các trường hợp hàn xương ba tầng</w:t>
      </w:r>
      <w:r w:rsidRPr="002C2664">
        <w:rPr>
          <w:rFonts w:ascii="Times New Roman" w:hAnsi="Times New Roman"/>
          <w:sz w:val="24"/>
          <w:szCs w:val="24"/>
        </w:rPr>
        <w:t>, t</w:t>
      </w:r>
      <w:r w:rsidRPr="00332C91">
        <w:rPr>
          <w:rFonts w:ascii="Times New Roman" w:hAnsi="Times New Roman"/>
          <w:sz w:val="24"/>
          <w:szCs w:val="24"/>
        </w:rPr>
        <w:t xml:space="preserve">ỉ lệ liền xương đạt được từ 72% - 100%. </w:t>
      </w:r>
      <w:r w:rsidRPr="00332C91">
        <w:rPr>
          <w:sz w:val="24"/>
          <w:szCs w:val="24"/>
        </w:rPr>
        <w:t>Riêng với các trường hợp ba tầng, trong nghiên cứu chúng tôi 25% bệnh nhân liền xương (2/8 bệnh nhân). Tỉ lệ này thấp hơn so với nghiên cứu của Cho</w:t>
      </w:r>
      <w:r>
        <w:rPr>
          <w:noProof/>
          <w:sz w:val="24"/>
          <w:szCs w:val="24"/>
          <w:vertAlign w:val="superscript"/>
        </w:rPr>
        <w:t>[3]</w:t>
      </w:r>
      <w:r w:rsidRPr="00332C91">
        <w:rPr>
          <w:sz w:val="24"/>
          <w:szCs w:val="24"/>
        </w:rPr>
        <w:t>, Chen</w:t>
      </w:r>
      <w:r>
        <w:rPr>
          <w:noProof/>
          <w:sz w:val="24"/>
          <w:szCs w:val="24"/>
          <w:vertAlign w:val="superscript"/>
        </w:rPr>
        <w:t>[2]</w:t>
      </w:r>
      <w:r w:rsidRPr="00332C91">
        <w:rPr>
          <w:sz w:val="24"/>
          <w:szCs w:val="24"/>
        </w:rPr>
        <w:t xml:space="preserve"> Liu</w:t>
      </w:r>
      <w:r>
        <w:rPr>
          <w:noProof/>
          <w:sz w:val="24"/>
          <w:szCs w:val="24"/>
          <w:vertAlign w:val="superscript"/>
        </w:rPr>
        <w:t>[8]</w:t>
      </w:r>
      <w:r w:rsidRPr="00332C91">
        <w:rPr>
          <w:sz w:val="24"/>
          <w:szCs w:val="24"/>
        </w:rPr>
        <w:t>, Wang</w:t>
      </w:r>
      <w:r>
        <w:rPr>
          <w:noProof/>
          <w:sz w:val="24"/>
          <w:szCs w:val="24"/>
          <w:vertAlign w:val="superscript"/>
        </w:rPr>
        <w:t>[17]</w:t>
      </w:r>
      <w:r w:rsidRPr="00332C91">
        <w:rPr>
          <w:sz w:val="24"/>
          <w:szCs w:val="24"/>
        </w:rPr>
        <w:t xml:space="preserve">. Sự khác biệt này theo chúng tôi có thể là do sự khác biệt về vật liệu nhồi vào PEEK và việc có sử dụng thêm nẹp ốc hay không. Các nghiên cứu sử dụng xương </w:t>
      </w:r>
      <w:r w:rsidRPr="000F6F5D">
        <w:rPr>
          <w:sz w:val="24"/>
          <w:szCs w:val="24"/>
        </w:rPr>
        <w:t>mào chậu</w:t>
      </w:r>
      <w:r w:rsidRPr="00332C91">
        <w:rPr>
          <w:sz w:val="24"/>
          <w:szCs w:val="24"/>
        </w:rPr>
        <w:t xml:space="preserve"> đều đạt được tỉ lệ liền xương cao.</w:t>
      </w:r>
    </w:p>
    <w:p w:rsidR="00FC38CE" w:rsidRPr="00A155ED" w:rsidRDefault="00FC38CE" w:rsidP="00B82C1C">
      <w:pPr>
        <w:pStyle w:val="Heading2"/>
        <w:contextualSpacing/>
        <w:rPr>
          <w:lang w:val="en-US"/>
        </w:rPr>
      </w:pPr>
      <w:bookmarkStart w:id="16" w:name="_Toc399633826"/>
      <w:r w:rsidRPr="00332C91">
        <w:t>Mối liên quan giữa kết quả lâm sàng và kết quả liền xương</w:t>
      </w:r>
      <w:bookmarkEnd w:id="16"/>
      <w:r w:rsidR="00A155ED">
        <w:rPr>
          <w:lang w:val="en-US"/>
        </w:rPr>
        <w:t>:</w:t>
      </w:r>
    </w:p>
    <w:p w:rsidR="00FC38CE" w:rsidRPr="00332C91" w:rsidRDefault="00FC38CE" w:rsidP="00B82C1C">
      <w:pPr>
        <w:autoSpaceDE w:val="0"/>
        <w:autoSpaceDN w:val="0"/>
        <w:adjustRightInd w:val="0"/>
        <w:spacing w:after="0" w:line="240" w:lineRule="auto"/>
        <w:ind w:firstLine="680"/>
        <w:contextualSpacing/>
        <w:rPr>
          <w:sz w:val="24"/>
          <w:szCs w:val="24"/>
        </w:rPr>
      </w:pPr>
      <w:r w:rsidRPr="00C35259">
        <w:rPr>
          <w:sz w:val="24"/>
          <w:szCs w:val="24"/>
        </w:rPr>
        <w:t>V</w:t>
      </w:r>
      <w:r w:rsidRPr="00332C91">
        <w:rPr>
          <w:sz w:val="24"/>
          <w:szCs w:val="24"/>
        </w:rPr>
        <w:t>ới sự phát triển của những vật liệu mới và kỹ thuật mổ hiện đại, tỉ lệ không liền xương khi hàn xương cột sống cổ lối trước có vẻ đã giảm. Tuy nhiên, tình trạng không liền xương có triệu chứng chiếm khoảng 60%</w:t>
      </w:r>
      <w:r>
        <w:rPr>
          <w:noProof/>
          <w:sz w:val="24"/>
          <w:szCs w:val="24"/>
          <w:vertAlign w:val="superscript"/>
        </w:rPr>
        <w:t>[15]</w:t>
      </w:r>
      <w:r w:rsidRPr="00332C91">
        <w:rPr>
          <w:sz w:val="24"/>
          <w:szCs w:val="24"/>
        </w:rPr>
        <w:t>. Ở những bệnh nhân không có triệu chứng có thể do tình trạng khớp giả đang ở trạng thái ổn định vì cấu trúc xương ghép hoặc vật liệu ghép (lồng, nẹp ốc) còn nguyên vẹn đã duy trì được chiều cao đĩa, độ ưỡn của tầng hàn xương. Bệnh nhân có thể không có triệu chứng khoảng 2 năm sau lần mổ đầu, thậm chí đến 6 năm.</w:t>
      </w:r>
      <w:r>
        <w:rPr>
          <w:noProof/>
          <w:sz w:val="24"/>
          <w:szCs w:val="24"/>
          <w:vertAlign w:val="superscript"/>
        </w:rPr>
        <w:t>[11, 15]</w:t>
      </w:r>
      <w:r w:rsidRPr="00332C91">
        <w:rPr>
          <w:sz w:val="24"/>
          <w:szCs w:val="24"/>
        </w:rPr>
        <w:t xml:space="preserve"> Ngược lại, khi tình trạng tiêu mảnh ghép, lún, hư cấu hình gây ra tình </w:t>
      </w:r>
      <w:r w:rsidRPr="00332C91">
        <w:rPr>
          <w:sz w:val="24"/>
          <w:szCs w:val="24"/>
        </w:rPr>
        <w:lastRenderedPageBreak/>
        <w:t xml:space="preserve">trạng giảm chiều cao đĩa, gù, mất vững, hẹp lỗ liên hợp và có thể xuất hiện triệu chứng ở bệnh nhân không liền xương không có triệu chứng trước đó. Vì vậy, để đánh giá ảnh hưởng lâm sàng ở những bệnh nhân không liền xương không triệu chứng cần thời gian theo dõi lâu dài. Trong nghiên cứu chúng tôi với 41 trường hợp có kết quả lâm sàng từ tốt đến rất tốt là 95% và tỉ lệ liền xương là 73%, thời gian theo dõi trung bình là 35,5 tháng. Riêng với các trường hợp không liền xương có thời gian theo dõi trung bình 27 tháng, 10/11 trường hợp có kết quả lâm sàng từ tốt đến rất tốt, 1 trường hợp kết quả lâm sàng </w:t>
      </w:r>
      <w:r w:rsidRPr="002C2664">
        <w:rPr>
          <w:sz w:val="24"/>
          <w:szCs w:val="24"/>
        </w:rPr>
        <w:t>trung bình</w:t>
      </w:r>
      <w:r w:rsidRPr="00332C91">
        <w:rPr>
          <w:sz w:val="24"/>
          <w:szCs w:val="24"/>
        </w:rPr>
        <w:t xml:space="preserve">. </w:t>
      </w:r>
      <w:r w:rsidRPr="002C2664">
        <w:rPr>
          <w:sz w:val="24"/>
          <w:szCs w:val="24"/>
        </w:rPr>
        <w:t>Trong nghiên cứu</w:t>
      </w:r>
      <w:r w:rsidRPr="00332C91">
        <w:rPr>
          <w:sz w:val="24"/>
          <w:szCs w:val="24"/>
        </w:rPr>
        <w:t xml:space="preserve"> không </w:t>
      </w:r>
      <w:r w:rsidRPr="002C2664">
        <w:rPr>
          <w:sz w:val="24"/>
          <w:szCs w:val="24"/>
        </w:rPr>
        <w:t xml:space="preserve">thấy </w:t>
      </w:r>
      <w:r w:rsidRPr="00332C91">
        <w:rPr>
          <w:sz w:val="24"/>
          <w:szCs w:val="24"/>
        </w:rPr>
        <w:t>mối liên quan giữa sự liền xương và kết quả</w:t>
      </w:r>
      <w:r w:rsidR="006902E6">
        <w:rPr>
          <w:sz w:val="24"/>
          <w:szCs w:val="24"/>
        </w:rPr>
        <w:t xml:space="preserve"> lâm sàng sau cùng</w:t>
      </w:r>
      <w:r w:rsidRPr="00332C91">
        <w:rPr>
          <w:sz w:val="24"/>
          <w:szCs w:val="24"/>
        </w:rPr>
        <w:t>. Với những hạn chế là nghiên cứu hồi cứu, cỡ mẫu nhỏ và thời gian theo dõi ngắn, chúng tôi chỉ có thể nhận xét phẫu thuật cắt đĩa lối trước và hàn xương có hiệu quả đối với bệnh lý thoát vị đĩa đệm cột sống cổ có chèn ép thần kinh và việc đánh giá ảnh hưởng lâm sàng của tình trạng không liền xương khi hàn xương với lồng PEEK cần có thời gian theo dõi dài hơn với cỡ mẫu lớn hơn.</w:t>
      </w:r>
    </w:p>
    <w:p w:rsidR="00FC38CE" w:rsidRPr="00332C91" w:rsidRDefault="00FC38CE" w:rsidP="00B82C1C">
      <w:pPr>
        <w:pStyle w:val="Heading1"/>
        <w:spacing w:line="240" w:lineRule="auto"/>
        <w:contextualSpacing/>
      </w:pPr>
      <w:bookmarkStart w:id="17" w:name="_Toc399633828"/>
      <w:r w:rsidRPr="00332C91">
        <w:t>KẾT LUẬN</w:t>
      </w:r>
      <w:bookmarkEnd w:id="17"/>
    </w:p>
    <w:p w:rsidR="00FC38CE" w:rsidRPr="00332C91" w:rsidRDefault="00FC38CE" w:rsidP="00B82C1C">
      <w:pPr>
        <w:autoSpaceDE w:val="0"/>
        <w:autoSpaceDN w:val="0"/>
        <w:adjustRightInd w:val="0"/>
        <w:spacing w:before="120" w:after="0" w:line="240" w:lineRule="auto"/>
        <w:ind w:firstLine="680"/>
        <w:contextualSpacing/>
        <w:rPr>
          <w:rFonts w:ascii="Times New Roman" w:hAnsi="Times New Roman" w:cs="Times New Roman"/>
          <w:sz w:val="24"/>
          <w:szCs w:val="24"/>
        </w:rPr>
      </w:pPr>
      <w:r w:rsidRPr="002C2664">
        <w:rPr>
          <w:rFonts w:ascii="Times New Roman" w:hAnsi="Times New Roman" w:cs="Times New Roman"/>
          <w:sz w:val="24"/>
          <w:szCs w:val="24"/>
        </w:rPr>
        <w:t>P</w:t>
      </w:r>
      <w:r w:rsidRPr="00332C91">
        <w:rPr>
          <w:rFonts w:ascii="Times New Roman" w:hAnsi="Times New Roman" w:cs="Times New Roman"/>
          <w:sz w:val="24"/>
          <w:szCs w:val="24"/>
        </w:rPr>
        <w:t xml:space="preserve">hẫu thuật cắt đĩa lối trước và hàn xương với lồng PEEK đơn thuần nhồi xương xốp đồng loại là một phương pháp hiệu quả và an toàn đối với bệnh lý thoát vị đĩa đệm cột sống cổ. Mặc dù tỉ lệ liền xương </w:t>
      </w:r>
      <w:r w:rsidRPr="002C2664">
        <w:rPr>
          <w:rFonts w:ascii="Times New Roman" w:hAnsi="Times New Roman" w:cs="Times New Roman"/>
          <w:sz w:val="24"/>
          <w:szCs w:val="24"/>
        </w:rPr>
        <w:t>không đạt tuyệt đối</w:t>
      </w:r>
      <w:r w:rsidRPr="00332C91">
        <w:rPr>
          <w:rFonts w:ascii="Times New Roman" w:hAnsi="Times New Roman" w:cs="Times New Roman"/>
          <w:sz w:val="24"/>
          <w:szCs w:val="24"/>
        </w:rPr>
        <w:t xml:space="preserve"> nhưng kỹ thuật này có thể cải thiện triệu chứng lâm sàng, duy trì được độ ưỡn của cột sống cổ và tránh được các biến chứng từ việc lấy ghép mào chậu và cố định nẹp ốc. Cần chú ý đối với các trường hợp hàn xương từ hai tầng trở lên để đạt được sự hàn xương thành công. Để đánh giá ảnh hưởng lâm sàng của tình trạng không liền xương khi hàn xương với lồng PEEK cần thời gian theo dõi lâu hơn và cỡ mẫu lớn hơn.</w:t>
      </w:r>
    </w:p>
    <w:p w:rsidR="00FC38CE" w:rsidRDefault="00FC38CE" w:rsidP="00B82C1C">
      <w:pPr>
        <w:pStyle w:val="EndNoteBibliography"/>
        <w:spacing w:after="0"/>
        <w:ind w:left="720" w:hanging="720"/>
        <w:contextualSpacing/>
        <w:rPr>
          <w:sz w:val="24"/>
          <w:szCs w:val="24"/>
          <w:lang w:val="vi-VN"/>
        </w:rPr>
      </w:pPr>
    </w:p>
    <w:p w:rsidR="00FC38CE" w:rsidRPr="00B26842" w:rsidRDefault="00FC38CE" w:rsidP="00B82C1C">
      <w:pPr>
        <w:pStyle w:val="EndNoteBibliography"/>
        <w:spacing w:after="0"/>
        <w:contextualSpacing/>
        <w:rPr>
          <w:b/>
          <w:sz w:val="24"/>
          <w:szCs w:val="24"/>
          <w:lang w:val="fr-FR"/>
        </w:rPr>
      </w:pPr>
      <w:r w:rsidRPr="00B26842">
        <w:rPr>
          <w:b/>
          <w:sz w:val="24"/>
          <w:szCs w:val="24"/>
          <w:lang w:val="fr-FR"/>
        </w:rPr>
        <w:t>TÀI LIỆU THAM KHẢO</w:t>
      </w:r>
    </w:p>
    <w:p w:rsidR="00FC38CE" w:rsidRPr="00B26842" w:rsidRDefault="00FC38CE" w:rsidP="00B82C1C">
      <w:pPr>
        <w:pStyle w:val="EndNoteBibliography"/>
        <w:spacing w:after="0"/>
        <w:contextualSpacing/>
        <w:rPr>
          <w:sz w:val="24"/>
          <w:szCs w:val="24"/>
          <w:lang w:val="fr-FR"/>
        </w:rPr>
      </w:pPr>
    </w:p>
    <w:p w:rsidR="00FC38CE" w:rsidRPr="00FC38CE" w:rsidRDefault="00FC38CE" w:rsidP="00B82C1C">
      <w:pPr>
        <w:pStyle w:val="EndNoteBibliography"/>
        <w:spacing w:after="0"/>
        <w:ind w:left="720" w:hanging="720"/>
        <w:contextualSpacing/>
        <w:rPr>
          <w:sz w:val="24"/>
          <w:szCs w:val="24"/>
        </w:rPr>
      </w:pPr>
      <w:bookmarkStart w:id="18" w:name="_ENREF_1"/>
      <w:r w:rsidRPr="00FC38CE">
        <w:rPr>
          <w:sz w:val="24"/>
          <w:szCs w:val="24"/>
          <w:lang w:val="fr-FR"/>
        </w:rPr>
        <w:t>1.</w:t>
      </w:r>
      <w:r w:rsidRPr="00FC38CE">
        <w:rPr>
          <w:sz w:val="24"/>
          <w:szCs w:val="24"/>
          <w:lang w:val="fr-FR"/>
        </w:rPr>
        <w:tab/>
        <w:t xml:space="preserve">Cannada, L. K., et al. </w:t>
      </w:r>
      <w:r w:rsidRPr="00FC38CE">
        <w:rPr>
          <w:sz w:val="24"/>
          <w:szCs w:val="24"/>
        </w:rPr>
        <w:t>(2003), "Pseudoarthrosis of the cervical spine: a comparison of radiographic diagnostic measures</w:t>
      </w:r>
      <w:r w:rsidRPr="00FC38CE">
        <w:rPr>
          <w:i/>
          <w:sz w:val="24"/>
          <w:szCs w:val="24"/>
        </w:rPr>
        <w:t>"</w:t>
      </w:r>
      <w:r w:rsidRPr="00FC38CE">
        <w:rPr>
          <w:sz w:val="24"/>
          <w:szCs w:val="24"/>
        </w:rPr>
        <w:t xml:space="preserve">, </w:t>
      </w:r>
      <w:r w:rsidRPr="00FC38CE">
        <w:rPr>
          <w:i/>
          <w:sz w:val="24"/>
          <w:szCs w:val="24"/>
        </w:rPr>
        <w:t>Spine (Phila Pa 1976)</w:t>
      </w:r>
      <w:r w:rsidRPr="00FC38CE">
        <w:rPr>
          <w:sz w:val="24"/>
          <w:szCs w:val="24"/>
        </w:rPr>
        <w:t>. 28(1), pp. 46-51.</w:t>
      </w:r>
      <w:bookmarkEnd w:id="18"/>
    </w:p>
    <w:p w:rsidR="00FC38CE" w:rsidRPr="00FC38CE" w:rsidRDefault="00FC38CE" w:rsidP="00B82C1C">
      <w:pPr>
        <w:pStyle w:val="EndNoteBibliography"/>
        <w:spacing w:after="0"/>
        <w:ind w:left="720" w:hanging="720"/>
        <w:contextualSpacing/>
        <w:rPr>
          <w:sz w:val="24"/>
          <w:szCs w:val="24"/>
        </w:rPr>
      </w:pPr>
      <w:bookmarkStart w:id="19" w:name="_ENREF_2"/>
      <w:r w:rsidRPr="00FC38CE">
        <w:rPr>
          <w:sz w:val="24"/>
          <w:szCs w:val="24"/>
        </w:rPr>
        <w:t>2.</w:t>
      </w:r>
      <w:r w:rsidRPr="00FC38CE">
        <w:rPr>
          <w:sz w:val="24"/>
          <w:szCs w:val="24"/>
        </w:rPr>
        <w:tab/>
        <w:t>Chen, Y., et al. (2013), "Comparison of titanium and polyetheretherketone (PEEK) cages in the surgical treatment of multilevel cervical spondylotic myelopathy: a prospective, randomized, control study with over 7-year follow-up</w:t>
      </w:r>
      <w:r w:rsidRPr="00FC38CE">
        <w:rPr>
          <w:i/>
          <w:sz w:val="24"/>
          <w:szCs w:val="24"/>
        </w:rPr>
        <w:t>"</w:t>
      </w:r>
      <w:r w:rsidRPr="00FC38CE">
        <w:rPr>
          <w:sz w:val="24"/>
          <w:szCs w:val="24"/>
        </w:rPr>
        <w:t xml:space="preserve">, </w:t>
      </w:r>
      <w:r w:rsidRPr="00FC38CE">
        <w:rPr>
          <w:i/>
          <w:sz w:val="24"/>
          <w:szCs w:val="24"/>
        </w:rPr>
        <w:t>Eur Spine J</w:t>
      </w:r>
      <w:r w:rsidRPr="00FC38CE">
        <w:rPr>
          <w:sz w:val="24"/>
          <w:szCs w:val="24"/>
        </w:rPr>
        <w:t>. 22(7), pp. 1539-1546.</w:t>
      </w:r>
      <w:bookmarkEnd w:id="19"/>
    </w:p>
    <w:p w:rsidR="00FC38CE" w:rsidRPr="00FC38CE" w:rsidRDefault="00FC38CE" w:rsidP="00B82C1C">
      <w:pPr>
        <w:pStyle w:val="EndNoteBibliography"/>
        <w:spacing w:after="0"/>
        <w:ind w:left="720" w:hanging="720"/>
        <w:contextualSpacing/>
        <w:rPr>
          <w:sz w:val="24"/>
          <w:szCs w:val="24"/>
        </w:rPr>
      </w:pPr>
      <w:bookmarkStart w:id="20" w:name="_ENREF_3"/>
      <w:r w:rsidRPr="00FC38CE">
        <w:rPr>
          <w:sz w:val="24"/>
          <w:szCs w:val="24"/>
        </w:rPr>
        <w:t>3.</w:t>
      </w:r>
      <w:r w:rsidRPr="00FC38CE">
        <w:rPr>
          <w:sz w:val="24"/>
          <w:szCs w:val="24"/>
        </w:rPr>
        <w:tab/>
        <w:t>Cho, D. Y., Lee, W. Y., and Sheu, P. C. (2004), "Treatment of multilevel cervical fusion with cages</w:t>
      </w:r>
      <w:r w:rsidRPr="00FC38CE">
        <w:rPr>
          <w:i/>
          <w:sz w:val="24"/>
          <w:szCs w:val="24"/>
        </w:rPr>
        <w:t>"</w:t>
      </w:r>
      <w:r w:rsidRPr="00FC38CE">
        <w:rPr>
          <w:sz w:val="24"/>
          <w:szCs w:val="24"/>
        </w:rPr>
        <w:t xml:space="preserve">, </w:t>
      </w:r>
      <w:r w:rsidRPr="00FC38CE">
        <w:rPr>
          <w:i/>
          <w:sz w:val="24"/>
          <w:szCs w:val="24"/>
        </w:rPr>
        <w:t>Surg Neurol</w:t>
      </w:r>
      <w:r w:rsidRPr="00FC38CE">
        <w:rPr>
          <w:sz w:val="24"/>
          <w:szCs w:val="24"/>
        </w:rPr>
        <w:t>. 62(5), pp. 378-385, discussion 385-386.</w:t>
      </w:r>
      <w:bookmarkEnd w:id="20"/>
    </w:p>
    <w:p w:rsidR="00FC38CE" w:rsidRPr="00B26842" w:rsidRDefault="00FC38CE" w:rsidP="00B82C1C">
      <w:pPr>
        <w:pStyle w:val="EndNoteBibliography"/>
        <w:spacing w:after="0"/>
        <w:ind w:left="720" w:hanging="720"/>
        <w:contextualSpacing/>
        <w:rPr>
          <w:sz w:val="24"/>
          <w:szCs w:val="24"/>
          <w:lang w:val="fr-FR"/>
        </w:rPr>
      </w:pPr>
      <w:bookmarkStart w:id="21" w:name="_ENREF_4"/>
      <w:r w:rsidRPr="00FC38CE">
        <w:rPr>
          <w:sz w:val="24"/>
          <w:szCs w:val="24"/>
        </w:rPr>
        <w:t>4.</w:t>
      </w:r>
      <w:r w:rsidRPr="00FC38CE">
        <w:rPr>
          <w:sz w:val="24"/>
          <w:szCs w:val="24"/>
        </w:rPr>
        <w:tab/>
        <w:t>Cho, D. Y., et al. (2002), "Preliminary experience using a polyetheretherketone (PEEK) cage in the treatment of cervical disc disease</w:t>
      </w:r>
      <w:r w:rsidRPr="00FC38CE">
        <w:rPr>
          <w:i/>
          <w:sz w:val="24"/>
          <w:szCs w:val="24"/>
        </w:rPr>
        <w:t>"</w:t>
      </w:r>
      <w:r w:rsidRPr="00FC38CE">
        <w:rPr>
          <w:sz w:val="24"/>
          <w:szCs w:val="24"/>
        </w:rPr>
        <w:t xml:space="preserve">, </w:t>
      </w:r>
      <w:r w:rsidRPr="00FC38CE">
        <w:rPr>
          <w:i/>
          <w:sz w:val="24"/>
          <w:szCs w:val="24"/>
        </w:rPr>
        <w:t>Neurosurgery</w:t>
      </w:r>
      <w:r w:rsidRPr="00FC38CE">
        <w:rPr>
          <w:sz w:val="24"/>
          <w:szCs w:val="24"/>
        </w:rPr>
        <w:t xml:space="preserve">. </w:t>
      </w:r>
      <w:r w:rsidRPr="00B26842">
        <w:rPr>
          <w:sz w:val="24"/>
          <w:szCs w:val="24"/>
          <w:lang w:val="fr-FR"/>
        </w:rPr>
        <w:t>51(6), pp. 1343-1349; discussion 1349-1350.</w:t>
      </w:r>
      <w:bookmarkEnd w:id="21"/>
    </w:p>
    <w:p w:rsidR="00FC38CE" w:rsidRPr="00FC38CE" w:rsidRDefault="00FC38CE" w:rsidP="00B82C1C">
      <w:pPr>
        <w:pStyle w:val="EndNoteBibliography"/>
        <w:spacing w:after="0"/>
        <w:ind w:left="720" w:hanging="720"/>
        <w:contextualSpacing/>
        <w:rPr>
          <w:sz w:val="24"/>
          <w:szCs w:val="24"/>
        </w:rPr>
      </w:pPr>
      <w:bookmarkStart w:id="22" w:name="_ENREF_5"/>
      <w:r w:rsidRPr="00FC38CE">
        <w:rPr>
          <w:sz w:val="24"/>
          <w:szCs w:val="24"/>
          <w:lang w:val="fr-FR"/>
        </w:rPr>
        <w:t>5.</w:t>
      </w:r>
      <w:r w:rsidRPr="00FC38CE">
        <w:rPr>
          <w:sz w:val="24"/>
          <w:szCs w:val="24"/>
          <w:lang w:val="fr-FR"/>
        </w:rPr>
        <w:tab/>
        <w:t xml:space="preserve">Goulet, J. A., et al. </w:t>
      </w:r>
      <w:r w:rsidRPr="00B26842">
        <w:rPr>
          <w:sz w:val="24"/>
          <w:szCs w:val="24"/>
          <w:lang w:val="fr-FR"/>
        </w:rPr>
        <w:t xml:space="preserve">(1997), "Autogenous iliac crest bone graft. </w:t>
      </w:r>
      <w:r w:rsidRPr="00FC38CE">
        <w:rPr>
          <w:sz w:val="24"/>
          <w:szCs w:val="24"/>
        </w:rPr>
        <w:t>Complications and functional assessment</w:t>
      </w:r>
      <w:r w:rsidRPr="00FC38CE">
        <w:rPr>
          <w:i/>
          <w:sz w:val="24"/>
          <w:szCs w:val="24"/>
        </w:rPr>
        <w:t>"</w:t>
      </w:r>
      <w:r w:rsidRPr="00FC38CE">
        <w:rPr>
          <w:sz w:val="24"/>
          <w:szCs w:val="24"/>
        </w:rPr>
        <w:t xml:space="preserve">, </w:t>
      </w:r>
      <w:r w:rsidRPr="00FC38CE">
        <w:rPr>
          <w:i/>
          <w:sz w:val="24"/>
          <w:szCs w:val="24"/>
        </w:rPr>
        <w:t>Clin Orthop Relat Res</w:t>
      </w:r>
      <w:r w:rsidRPr="00FC38CE">
        <w:rPr>
          <w:sz w:val="24"/>
          <w:szCs w:val="24"/>
        </w:rPr>
        <w:t>(339), pp. 76-81.</w:t>
      </w:r>
      <w:bookmarkEnd w:id="22"/>
    </w:p>
    <w:p w:rsidR="00FC38CE" w:rsidRPr="00FC38CE" w:rsidRDefault="00FC38CE" w:rsidP="00B82C1C">
      <w:pPr>
        <w:pStyle w:val="EndNoteBibliography"/>
        <w:spacing w:after="0"/>
        <w:ind w:left="720" w:hanging="720"/>
        <w:contextualSpacing/>
        <w:rPr>
          <w:sz w:val="24"/>
          <w:szCs w:val="24"/>
        </w:rPr>
      </w:pPr>
      <w:bookmarkStart w:id="23" w:name="_ENREF_6"/>
      <w:r w:rsidRPr="00FC38CE">
        <w:rPr>
          <w:sz w:val="24"/>
          <w:szCs w:val="24"/>
        </w:rPr>
        <w:t>6.</w:t>
      </w:r>
      <w:r w:rsidRPr="00FC38CE">
        <w:rPr>
          <w:sz w:val="24"/>
          <w:szCs w:val="24"/>
        </w:rPr>
        <w:tab/>
        <w:t>Ha, S. K., et al. (2008), "Radiologic Assessment of Subsidence in Stand-Alone Cervical Polyetheretherketone (PEEK) Cage</w:t>
      </w:r>
      <w:r w:rsidRPr="00FC38CE">
        <w:rPr>
          <w:i/>
          <w:sz w:val="24"/>
          <w:szCs w:val="24"/>
        </w:rPr>
        <w:t>"</w:t>
      </w:r>
      <w:r w:rsidRPr="00FC38CE">
        <w:rPr>
          <w:sz w:val="24"/>
          <w:szCs w:val="24"/>
        </w:rPr>
        <w:t xml:space="preserve">, </w:t>
      </w:r>
      <w:r w:rsidRPr="00FC38CE">
        <w:rPr>
          <w:i/>
          <w:sz w:val="24"/>
          <w:szCs w:val="24"/>
        </w:rPr>
        <w:t>J Korean Neurosurg Soc</w:t>
      </w:r>
      <w:r w:rsidRPr="00FC38CE">
        <w:rPr>
          <w:sz w:val="24"/>
          <w:szCs w:val="24"/>
        </w:rPr>
        <w:t>. 44(6), pp. 370-374.</w:t>
      </w:r>
      <w:bookmarkEnd w:id="23"/>
    </w:p>
    <w:p w:rsidR="00FC38CE" w:rsidRPr="00FC38CE" w:rsidRDefault="00FC38CE" w:rsidP="00B82C1C">
      <w:pPr>
        <w:pStyle w:val="EndNoteBibliography"/>
        <w:spacing w:after="0"/>
        <w:ind w:left="720" w:hanging="720"/>
        <w:contextualSpacing/>
        <w:rPr>
          <w:sz w:val="24"/>
          <w:szCs w:val="24"/>
        </w:rPr>
      </w:pPr>
      <w:bookmarkStart w:id="24" w:name="_ENREF_7"/>
      <w:r w:rsidRPr="00FC38CE">
        <w:rPr>
          <w:sz w:val="24"/>
          <w:szCs w:val="24"/>
        </w:rPr>
        <w:t>7.</w:t>
      </w:r>
      <w:r w:rsidRPr="00FC38CE">
        <w:rPr>
          <w:sz w:val="24"/>
          <w:szCs w:val="24"/>
        </w:rPr>
        <w:tab/>
        <w:t>Kurtz, S. M. and Devine, J. N. (2007), "PEEK biomaterials in trauma, orthopedic, and spinal implants</w:t>
      </w:r>
      <w:r w:rsidRPr="00FC38CE">
        <w:rPr>
          <w:i/>
          <w:sz w:val="24"/>
          <w:szCs w:val="24"/>
        </w:rPr>
        <w:t>"</w:t>
      </w:r>
      <w:r w:rsidRPr="00FC38CE">
        <w:rPr>
          <w:sz w:val="24"/>
          <w:szCs w:val="24"/>
        </w:rPr>
        <w:t xml:space="preserve">, </w:t>
      </w:r>
      <w:r w:rsidRPr="00FC38CE">
        <w:rPr>
          <w:i/>
          <w:sz w:val="24"/>
          <w:szCs w:val="24"/>
        </w:rPr>
        <w:t>Biomaterials</w:t>
      </w:r>
      <w:r w:rsidRPr="00FC38CE">
        <w:rPr>
          <w:sz w:val="24"/>
          <w:szCs w:val="24"/>
        </w:rPr>
        <w:t>. 28(32), pp. 4845-4869.</w:t>
      </w:r>
      <w:bookmarkEnd w:id="24"/>
    </w:p>
    <w:p w:rsidR="00FC38CE" w:rsidRPr="00FC38CE" w:rsidRDefault="00FC38CE" w:rsidP="00B82C1C">
      <w:pPr>
        <w:pStyle w:val="EndNoteBibliography"/>
        <w:spacing w:after="0"/>
        <w:ind w:left="720" w:hanging="720"/>
        <w:contextualSpacing/>
        <w:rPr>
          <w:sz w:val="24"/>
          <w:szCs w:val="24"/>
        </w:rPr>
      </w:pPr>
      <w:bookmarkStart w:id="25" w:name="_ENREF_8"/>
      <w:r w:rsidRPr="00FC38CE">
        <w:rPr>
          <w:sz w:val="24"/>
          <w:szCs w:val="24"/>
        </w:rPr>
        <w:t>8.</w:t>
      </w:r>
      <w:r w:rsidRPr="00FC38CE">
        <w:rPr>
          <w:sz w:val="24"/>
          <w:szCs w:val="24"/>
        </w:rPr>
        <w:tab/>
        <w:t>Liu, H., et al. (2012), "Polyetheretherketone cages alone with allograft for three-level anterior cervical fusion</w:t>
      </w:r>
      <w:r w:rsidRPr="00FC38CE">
        <w:rPr>
          <w:i/>
          <w:sz w:val="24"/>
          <w:szCs w:val="24"/>
        </w:rPr>
        <w:t>"</w:t>
      </w:r>
      <w:r w:rsidRPr="00FC38CE">
        <w:rPr>
          <w:sz w:val="24"/>
          <w:szCs w:val="24"/>
        </w:rPr>
        <w:t xml:space="preserve">, </w:t>
      </w:r>
      <w:r w:rsidRPr="00FC38CE">
        <w:rPr>
          <w:i/>
          <w:sz w:val="24"/>
          <w:szCs w:val="24"/>
        </w:rPr>
        <w:t>ISRN Neurol</w:t>
      </w:r>
      <w:r w:rsidRPr="00FC38CE">
        <w:rPr>
          <w:sz w:val="24"/>
          <w:szCs w:val="24"/>
        </w:rPr>
        <w:t>. 2012, p. 452703.</w:t>
      </w:r>
      <w:bookmarkEnd w:id="25"/>
    </w:p>
    <w:p w:rsidR="00FC38CE" w:rsidRPr="00FC38CE" w:rsidRDefault="00FC38CE" w:rsidP="00B82C1C">
      <w:pPr>
        <w:pStyle w:val="EndNoteBibliography"/>
        <w:spacing w:after="0"/>
        <w:ind w:left="720" w:hanging="720"/>
        <w:contextualSpacing/>
        <w:rPr>
          <w:sz w:val="24"/>
          <w:szCs w:val="24"/>
        </w:rPr>
      </w:pPr>
      <w:bookmarkStart w:id="26" w:name="_ENREF_9"/>
      <w:r w:rsidRPr="00FC38CE">
        <w:rPr>
          <w:sz w:val="24"/>
          <w:szCs w:val="24"/>
        </w:rPr>
        <w:lastRenderedPageBreak/>
        <w:t>9.</w:t>
      </w:r>
      <w:r w:rsidRPr="00FC38CE">
        <w:rPr>
          <w:sz w:val="24"/>
          <w:szCs w:val="24"/>
        </w:rPr>
        <w:tab/>
        <w:t>Oh, S. H., et al. (2013), "ACDF Using the Solis Cage with Iliac Bone Graft in Single Level: Clinical and Radiological Outcomes in Average 36 months Follow-up</w:t>
      </w:r>
      <w:r w:rsidRPr="00FC38CE">
        <w:rPr>
          <w:i/>
          <w:sz w:val="24"/>
          <w:szCs w:val="24"/>
        </w:rPr>
        <w:t>"</w:t>
      </w:r>
      <w:r w:rsidRPr="00FC38CE">
        <w:rPr>
          <w:sz w:val="24"/>
          <w:szCs w:val="24"/>
        </w:rPr>
        <w:t xml:space="preserve">, </w:t>
      </w:r>
      <w:r w:rsidRPr="00FC38CE">
        <w:rPr>
          <w:i/>
          <w:sz w:val="24"/>
          <w:szCs w:val="24"/>
        </w:rPr>
        <w:t>Korean J Spine</w:t>
      </w:r>
      <w:r w:rsidRPr="00FC38CE">
        <w:rPr>
          <w:sz w:val="24"/>
          <w:szCs w:val="24"/>
        </w:rPr>
        <w:t>. 10(2), pp. 72-77.</w:t>
      </w:r>
      <w:bookmarkEnd w:id="26"/>
    </w:p>
    <w:p w:rsidR="00FC38CE" w:rsidRPr="00FC38CE" w:rsidRDefault="00FC38CE" w:rsidP="00B82C1C">
      <w:pPr>
        <w:pStyle w:val="EndNoteBibliography"/>
        <w:spacing w:after="0"/>
        <w:ind w:left="720" w:hanging="720"/>
        <w:contextualSpacing/>
        <w:rPr>
          <w:sz w:val="24"/>
          <w:szCs w:val="24"/>
        </w:rPr>
      </w:pPr>
      <w:bookmarkStart w:id="27" w:name="_ENREF_10"/>
      <w:r w:rsidRPr="00FC38CE">
        <w:rPr>
          <w:sz w:val="24"/>
          <w:szCs w:val="24"/>
        </w:rPr>
        <w:t>10.</w:t>
      </w:r>
      <w:r w:rsidRPr="00FC38CE">
        <w:rPr>
          <w:sz w:val="24"/>
          <w:szCs w:val="24"/>
        </w:rPr>
        <w:tab/>
        <w:t>Ploumis, Avraam, et al. (2006), "Prospective assessment of cervical fusion status: plain radiographs versus CT-scan</w:t>
      </w:r>
      <w:r w:rsidRPr="00FC38CE">
        <w:rPr>
          <w:i/>
          <w:sz w:val="24"/>
          <w:szCs w:val="24"/>
        </w:rPr>
        <w:t>"</w:t>
      </w:r>
      <w:r w:rsidRPr="00FC38CE">
        <w:rPr>
          <w:sz w:val="24"/>
          <w:szCs w:val="24"/>
        </w:rPr>
        <w:t xml:space="preserve">, </w:t>
      </w:r>
      <w:r w:rsidRPr="00FC38CE">
        <w:rPr>
          <w:i/>
          <w:sz w:val="24"/>
          <w:szCs w:val="24"/>
        </w:rPr>
        <w:t>Acta Orthopaedica Belgica</w:t>
      </w:r>
      <w:r w:rsidRPr="00FC38CE">
        <w:rPr>
          <w:sz w:val="24"/>
          <w:szCs w:val="24"/>
        </w:rPr>
        <w:t>. 72(3), pp. 342-346.</w:t>
      </w:r>
      <w:bookmarkEnd w:id="27"/>
    </w:p>
    <w:p w:rsidR="00FC38CE" w:rsidRPr="00FC38CE" w:rsidRDefault="00FC38CE" w:rsidP="00B82C1C">
      <w:pPr>
        <w:pStyle w:val="EndNoteBibliography"/>
        <w:spacing w:after="0"/>
        <w:ind w:left="720" w:hanging="720"/>
        <w:contextualSpacing/>
        <w:rPr>
          <w:sz w:val="24"/>
          <w:szCs w:val="24"/>
        </w:rPr>
      </w:pPr>
      <w:bookmarkStart w:id="28" w:name="_ENREF_11"/>
      <w:r w:rsidRPr="00FC38CE">
        <w:rPr>
          <w:sz w:val="24"/>
          <w:szCs w:val="24"/>
          <w:lang w:val="fr-FR"/>
        </w:rPr>
        <w:t>11.</w:t>
      </w:r>
      <w:r w:rsidRPr="00FC38CE">
        <w:rPr>
          <w:sz w:val="24"/>
          <w:szCs w:val="24"/>
          <w:lang w:val="fr-FR"/>
        </w:rPr>
        <w:tab/>
        <w:t xml:space="preserve">Phillips, F. M., et al. </w:t>
      </w:r>
      <w:r w:rsidRPr="00FC38CE">
        <w:rPr>
          <w:sz w:val="24"/>
          <w:szCs w:val="24"/>
        </w:rPr>
        <w:t>(1997), "Anterior cervical pseudarthrosis. Natural history and treatment</w:t>
      </w:r>
      <w:r w:rsidRPr="00FC38CE">
        <w:rPr>
          <w:i/>
          <w:sz w:val="24"/>
          <w:szCs w:val="24"/>
        </w:rPr>
        <w:t>"</w:t>
      </w:r>
      <w:r w:rsidRPr="00FC38CE">
        <w:rPr>
          <w:sz w:val="24"/>
          <w:szCs w:val="24"/>
        </w:rPr>
        <w:t xml:space="preserve">, </w:t>
      </w:r>
      <w:r w:rsidRPr="00FC38CE">
        <w:rPr>
          <w:i/>
          <w:sz w:val="24"/>
          <w:szCs w:val="24"/>
        </w:rPr>
        <w:t>Spine (Phila Pa 1976)</w:t>
      </w:r>
      <w:r w:rsidRPr="00FC38CE">
        <w:rPr>
          <w:sz w:val="24"/>
          <w:szCs w:val="24"/>
        </w:rPr>
        <w:t>. 22(14), pp. 1585-1589.</w:t>
      </w:r>
      <w:bookmarkEnd w:id="28"/>
    </w:p>
    <w:p w:rsidR="00FC38CE" w:rsidRPr="00FC38CE" w:rsidRDefault="00FC38CE" w:rsidP="00B82C1C">
      <w:pPr>
        <w:pStyle w:val="EndNoteBibliography"/>
        <w:spacing w:after="0"/>
        <w:ind w:left="720" w:hanging="720"/>
        <w:contextualSpacing/>
        <w:rPr>
          <w:sz w:val="24"/>
          <w:szCs w:val="24"/>
        </w:rPr>
      </w:pPr>
      <w:bookmarkStart w:id="29" w:name="_ENREF_12"/>
      <w:r w:rsidRPr="00FC38CE">
        <w:rPr>
          <w:sz w:val="24"/>
          <w:szCs w:val="24"/>
        </w:rPr>
        <w:t>12.</w:t>
      </w:r>
      <w:r w:rsidRPr="00FC38CE">
        <w:rPr>
          <w:sz w:val="24"/>
          <w:szCs w:val="24"/>
        </w:rPr>
        <w:tab/>
        <w:t>Robinson, Robert A, et al. (1962), "The results of anterior interbody fusion of the cervical spine</w:t>
      </w:r>
      <w:r w:rsidRPr="00FC38CE">
        <w:rPr>
          <w:i/>
          <w:sz w:val="24"/>
          <w:szCs w:val="24"/>
        </w:rPr>
        <w:t>"</w:t>
      </w:r>
      <w:r w:rsidRPr="00FC38CE">
        <w:rPr>
          <w:sz w:val="24"/>
          <w:szCs w:val="24"/>
        </w:rPr>
        <w:t xml:space="preserve">, </w:t>
      </w:r>
      <w:r w:rsidRPr="00FC38CE">
        <w:rPr>
          <w:i/>
          <w:sz w:val="24"/>
          <w:szCs w:val="24"/>
        </w:rPr>
        <w:t>The Journal of Bone &amp; Joint Surgery</w:t>
      </w:r>
      <w:r w:rsidRPr="00FC38CE">
        <w:rPr>
          <w:sz w:val="24"/>
          <w:szCs w:val="24"/>
        </w:rPr>
        <w:t>. 44(8), pp. 1569-1587.</w:t>
      </w:r>
      <w:bookmarkEnd w:id="29"/>
    </w:p>
    <w:p w:rsidR="00FC38CE" w:rsidRPr="00FC38CE" w:rsidRDefault="00FC38CE" w:rsidP="00B82C1C">
      <w:pPr>
        <w:pStyle w:val="EndNoteBibliography"/>
        <w:spacing w:after="0"/>
        <w:ind w:left="720" w:hanging="720"/>
        <w:contextualSpacing/>
        <w:rPr>
          <w:sz w:val="24"/>
          <w:szCs w:val="24"/>
        </w:rPr>
      </w:pPr>
      <w:bookmarkStart w:id="30" w:name="_ENREF_13"/>
      <w:r w:rsidRPr="00FC38CE">
        <w:rPr>
          <w:sz w:val="24"/>
          <w:szCs w:val="24"/>
        </w:rPr>
        <w:t>13.</w:t>
      </w:r>
      <w:r w:rsidRPr="00FC38CE">
        <w:rPr>
          <w:sz w:val="24"/>
          <w:szCs w:val="24"/>
        </w:rPr>
        <w:tab/>
        <w:t>Sethi, N., et al. (2008), "Diagnosing cervical fusion: a comprehensive literature review</w:t>
      </w:r>
      <w:r w:rsidRPr="00FC38CE">
        <w:rPr>
          <w:i/>
          <w:sz w:val="24"/>
          <w:szCs w:val="24"/>
        </w:rPr>
        <w:t>"</w:t>
      </w:r>
      <w:r w:rsidRPr="00FC38CE">
        <w:rPr>
          <w:sz w:val="24"/>
          <w:szCs w:val="24"/>
        </w:rPr>
        <w:t xml:space="preserve">, </w:t>
      </w:r>
      <w:r w:rsidRPr="00FC38CE">
        <w:rPr>
          <w:i/>
          <w:sz w:val="24"/>
          <w:szCs w:val="24"/>
        </w:rPr>
        <w:t>Asian Spine J</w:t>
      </w:r>
      <w:r w:rsidRPr="00FC38CE">
        <w:rPr>
          <w:sz w:val="24"/>
          <w:szCs w:val="24"/>
        </w:rPr>
        <w:t>. 2(2), pp. 127-143.</w:t>
      </w:r>
      <w:bookmarkEnd w:id="30"/>
    </w:p>
    <w:p w:rsidR="00FC38CE" w:rsidRPr="00FC38CE" w:rsidRDefault="00FC38CE" w:rsidP="00B82C1C">
      <w:pPr>
        <w:pStyle w:val="EndNoteBibliography"/>
        <w:spacing w:after="0"/>
        <w:ind w:left="720" w:hanging="720"/>
        <w:contextualSpacing/>
        <w:rPr>
          <w:sz w:val="24"/>
          <w:szCs w:val="24"/>
        </w:rPr>
      </w:pPr>
      <w:bookmarkStart w:id="31" w:name="_ENREF_14"/>
      <w:r w:rsidRPr="00FC38CE">
        <w:rPr>
          <w:sz w:val="24"/>
          <w:szCs w:val="24"/>
        </w:rPr>
        <w:t>14.</w:t>
      </w:r>
      <w:r w:rsidRPr="00FC38CE">
        <w:rPr>
          <w:sz w:val="24"/>
          <w:szCs w:val="24"/>
        </w:rPr>
        <w:tab/>
        <w:t>Smith, G. W. and Robinson, R. A. (1958), "The treatment of certain cervical-spine disorders by anterior removal of the intervertebral disc and interbody fusion</w:t>
      </w:r>
      <w:r w:rsidRPr="00FC38CE">
        <w:rPr>
          <w:i/>
          <w:sz w:val="24"/>
          <w:szCs w:val="24"/>
        </w:rPr>
        <w:t>"</w:t>
      </w:r>
      <w:r w:rsidRPr="00FC38CE">
        <w:rPr>
          <w:sz w:val="24"/>
          <w:szCs w:val="24"/>
        </w:rPr>
        <w:t xml:space="preserve">, </w:t>
      </w:r>
      <w:r w:rsidRPr="00FC38CE">
        <w:rPr>
          <w:i/>
          <w:sz w:val="24"/>
          <w:szCs w:val="24"/>
        </w:rPr>
        <w:t>J Bone Joint Surg Am</w:t>
      </w:r>
      <w:r w:rsidRPr="00FC38CE">
        <w:rPr>
          <w:sz w:val="24"/>
          <w:szCs w:val="24"/>
        </w:rPr>
        <w:t>. 40-a(3), pp. 607-624.</w:t>
      </w:r>
      <w:bookmarkEnd w:id="31"/>
    </w:p>
    <w:p w:rsidR="00FC38CE" w:rsidRPr="00FC38CE" w:rsidRDefault="00FC38CE" w:rsidP="00B82C1C">
      <w:pPr>
        <w:pStyle w:val="EndNoteBibliography"/>
        <w:spacing w:after="0"/>
        <w:ind w:left="720" w:hanging="720"/>
        <w:contextualSpacing/>
        <w:rPr>
          <w:sz w:val="24"/>
          <w:szCs w:val="24"/>
        </w:rPr>
      </w:pPr>
      <w:bookmarkStart w:id="32" w:name="_ENREF_15"/>
      <w:r w:rsidRPr="00FC38CE">
        <w:rPr>
          <w:sz w:val="24"/>
          <w:szCs w:val="24"/>
        </w:rPr>
        <w:t>15.</w:t>
      </w:r>
      <w:r w:rsidRPr="00FC38CE">
        <w:rPr>
          <w:sz w:val="24"/>
          <w:szCs w:val="24"/>
        </w:rPr>
        <w:tab/>
        <w:t>Stauff, Michael P. and Knaub, Mark A. (2006), "Pseudoarthrosis Following Anterior Cervical Surgery: Diagnosis, Treatment Options, and Results</w:t>
      </w:r>
      <w:r w:rsidRPr="00FC38CE">
        <w:rPr>
          <w:i/>
          <w:sz w:val="24"/>
          <w:szCs w:val="24"/>
        </w:rPr>
        <w:t>"</w:t>
      </w:r>
      <w:r w:rsidRPr="00FC38CE">
        <w:rPr>
          <w:sz w:val="24"/>
          <w:szCs w:val="24"/>
        </w:rPr>
        <w:t xml:space="preserve">, </w:t>
      </w:r>
      <w:r w:rsidRPr="00FC38CE">
        <w:rPr>
          <w:i/>
          <w:sz w:val="24"/>
          <w:szCs w:val="24"/>
        </w:rPr>
        <w:t>Seminars in Spine Surgery</w:t>
      </w:r>
      <w:r w:rsidRPr="00FC38CE">
        <w:rPr>
          <w:sz w:val="24"/>
          <w:szCs w:val="24"/>
        </w:rPr>
        <w:t>. 18(4), pp. 235-244.</w:t>
      </w:r>
      <w:bookmarkEnd w:id="32"/>
    </w:p>
    <w:p w:rsidR="00FC38CE" w:rsidRPr="00FC38CE" w:rsidRDefault="00FC38CE" w:rsidP="00B82C1C">
      <w:pPr>
        <w:pStyle w:val="EndNoteBibliography"/>
        <w:spacing w:after="0"/>
        <w:ind w:left="720" w:hanging="720"/>
        <w:contextualSpacing/>
        <w:rPr>
          <w:sz w:val="24"/>
          <w:szCs w:val="24"/>
        </w:rPr>
      </w:pPr>
      <w:bookmarkStart w:id="33" w:name="_ENREF_16"/>
      <w:r w:rsidRPr="00FC38CE">
        <w:rPr>
          <w:sz w:val="24"/>
          <w:szCs w:val="24"/>
        </w:rPr>
        <w:t>16.</w:t>
      </w:r>
      <w:r w:rsidRPr="00FC38CE">
        <w:rPr>
          <w:sz w:val="24"/>
          <w:szCs w:val="24"/>
        </w:rPr>
        <w:tab/>
        <w:t>Wang, J. C., et al. (2000), "Increased fusion rates with cervical plating for two-level anterior cervical discectomy and fusion</w:t>
      </w:r>
      <w:r w:rsidRPr="00FC38CE">
        <w:rPr>
          <w:i/>
          <w:sz w:val="24"/>
          <w:szCs w:val="24"/>
        </w:rPr>
        <w:t>"</w:t>
      </w:r>
      <w:r w:rsidRPr="00FC38CE">
        <w:rPr>
          <w:sz w:val="24"/>
          <w:szCs w:val="24"/>
        </w:rPr>
        <w:t xml:space="preserve">, </w:t>
      </w:r>
      <w:r w:rsidRPr="00FC38CE">
        <w:rPr>
          <w:i/>
          <w:sz w:val="24"/>
          <w:szCs w:val="24"/>
        </w:rPr>
        <w:t>Spine (Phila Pa 1976)</w:t>
      </w:r>
      <w:r w:rsidRPr="00FC38CE">
        <w:rPr>
          <w:sz w:val="24"/>
          <w:szCs w:val="24"/>
        </w:rPr>
        <w:t>. 25(1), pp. 41-45.</w:t>
      </w:r>
      <w:bookmarkEnd w:id="33"/>
    </w:p>
    <w:p w:rsidR="00FC38CE" w:rsidRPr="00FC38CE" w:rsidRDefault="00FC38CE" w:rsidP="00B82C1C">
      <w:pPr>
        <w:pStyle w:val="EndNoteBibliography"/>
        <w:spacing w:after="0"/>
        <w:ind w:left="720" w:hanging="720"/>
        <w:contextualSpacing/>
        <w:rPr>
          <w:sz w:val="24"/>
          <w:szCs w:val="24"/>
        </w:rPr>
      </w:pPr>
      <w:bookmarkStart w:id="34" w:name="_ENREF_17"/>
      <w:r w:rsidRPr="00B26842">
        <w:rPr>
          <w:sz w:val="24"/>
          <w:szCs w:val="24"/>
        </w:rPr>
        <w:t>17.</w:t>
      </w:r>
      <w:r w:rsidRPr="00B26842">
        <w:rPr>
          <w:sz w:val="24"/>
          <w:szCs w:val="24"/>
        </w:rPr>
        <w:tab/>
        <w:t xml:space="preserve">Wang, J. C., et al. </w:t>
      </w:r>
      <w:r w:rsidRPr="00FC38CE">
        <w:rPr>
          <w:sz w:val="24"/>
          <w:szCs w:val="24"/>
        </w:rPr>
        <w:t>(2001), "Increased fusion rates with cervical plating for three-level anterior cervical discectomy and fusion</w:t>
      </w:r>
      <w:r w:rsidRPr="00FC38CE">
        <w:rPr>
          <w:i/>
          <w:sz w:val="24"/>
          <w:szCs w:val="24"/>
        </w:rPr>
        <w:t>"</w:t>
      </w:r>
      <w:r w:rsidRPr="00FC38CE">
        <w:rPr>
          <w:sz w:val="24"/>
          <w:szCs w:val="24"/>
        </w:rPr>
        <w:t xml:space="preserve">, </w:t>
      </w:r>
      <w:r w:rsidRPr="00FC38CE">
        <w:rPr>
          <w:i/>
          <w:sz w:val="24"/>
          <w:szCs w:val="24"/>
        </w:rPr>
        <w:t>Spine (Phila Pa 1976)</w:t>
      </w:r>
      <w:r w:rsidRPr="00FC38CE">
        <w:rPr>
          <w:sz w:val="24"/>
          <w:szCs w:val="24"/>
        </w:rPr>
        <w:t>. 26(6), pp. 643-646; discussion 646-647.</w:t>
      </w:r>
      <w:bookmarkEnd w:id="34"/>
    </w:p>
    <w:p w:rsidR="00FC38CE" w:rsidRPr="00FC38CE" w:rsidRDefault="00FC38CE" w:rsidP="00B82C1C">
      <w:pPr>
        <w:pStyle w:val="EndNoteBibliography"/>
        <w:spacing w:after="0"/>
        <w:ind w:left="720" w:hanging="720"/>
        <w:contextualSpacing/>
        <w:rPr>
          <w:sz w:val="24"/>
          <w:szCs w:val="24"/>
        </w:rPr>
      </w:pPr>
      <w:bookmarkStart w:id="35" w:name="_ENREF_18"/>
      <w:r w:rsidRPr="00FC38CE">
        <w:rPr>
          <w:sz w:val="24"/>
          <w:szCs w:val="24"/>
        </w:rPr>
        <w:t>18.</w:t>
      </w:r>
      <w:r w:rsidRPr="00FC38CE">
        <w:rPr>
          <w:sz w:val="24"/>
          <w:szCs w:val="24"/>
        </w:rPr>
        <w:tab/>
        <w:t xml:space="preserve">White, Augustus A. and Panjabi, Manohar M. (1990), "Kinematics of the Spine", </w:t>
      </w:r>
      <w:r w:rsidRPr="00FC38CE">
        <w:rPr>
          <w:i/>
          <w:sz w:val="24"/>
          <w:szCs w:val="24"/>
        </w:rPr>
        <w:t>Clinical Biomechanics of the Spine 2nd Edition</w:t>
      </w:r>
      <w:r w:rsidRPr="00FC38CE">
        <w:rPr>
          <w:sz w:val="24"/>
          <w:szCs w:val="24"/>
        </w:rPr>
        <w:t>, Lippincott Company, pp. 85 -125.</w:t>
      </w:r>
      <w:bookmarkEnd w:id="35"/>
    </w:p>
    <w:p w:rsidR="00FC38CE" w:rsidRPr="00FC38CE" w:rsidRDefault="00FC38CE" w:rsidP="00B82C1C">
      <w:pPr>
        <w:pStyle w:val="EndNoteBibliography"/>
        <w:spacing w:after="0"/>
        <w:ind w:left="720" w:hanging="720"/>
        <w:contextualSpacing/>
        <w:rPr>
          <w:sz w:val="24"/>
          <w:szCs w:val="24"/>
        </w:rPr>
      </w:pPr>
      <w:bookmarkStart w:id="36" w:name="_ENREF_19"/>
      <w:r w:rsidRPr="00FC38CE">
        <w:rPr>
          <w:sz w:val="24"/>
          <w:szCs w:val="24"/>
          <w:lang w:val="fr-FR"/>
        </w:rPr>
        <w:t>19.</w:t>
      </w:r>
      <w:r w:rsidRPr="00FC38CE">
        <w:rPr>
          <w:sz w:val="24"/>
          <w:szCs w:val="24"/>
          <w:lang w:val="fr-FR"/>
        </w:rPr>
        <w:tab/>
        <w:t xml:space="preserve">Yang, J. J., et al. </w:t>
      </w:r>
      <w:r w:rsidRPr="00FC38CE">
        <w:rPr>
          <w:sz w:val="24"/>
          <w:szCs w:val="24"/>
        </w:rPr>
        <w:t>(2011), "Subsidence and nonunion after anterior cervical interbody fusion using a stand-alone polyetheretherketone (PEEK) cage</w:t>
      </w:r>
      <w:r w:rsidRPr="00FC38CE">
        <w:rPr>
          <w:i/>
          <w:sz w:val="24"/>
          <w:szCs w:val="24"/>
        </w:rPr>
        <w:t>"</w:t>
      </w:r>
      <w:r w:rsidRPr="00FC38CE">
        <w:rPr>
          <w:sz w:val="24"/>
          <w:szCs w:val="24"/>
        </w:rPr>
        <w:t xml:space="preserve">, </w:t>
      </w:r>
      <w:r w:rsidRPr="00FC38CE">
        <w:rPr>
          <w:i/>
          <w:sz w:val="24"/>
          <w:szCs w:val="24"/>
        </w:rPr>
        <w:t>Clin Orthop Surg</w:t>
      </w:r>
      <w:r w:rsidRPr="00FC38CE">
        <w:rPr>
          <w:sz w:val="24"/>
          <w:szCs w:val="24"/>
        </w:rPr>
        <w:t>. 3(1), pp. 16-23.</w:t>
      </w:r>
      <w:bookmarkEnd w:id="36"/>
    </w:p>
    <w:p w:rsidR="00FC38CE" w:rsidRPr="00FC38CE" w:rsidRDefault="00FC38CE" w:rsidP="00B82C1C">
      <w:pPr>
        <w:pStyle w:val="EndNoteBibliography"/>
        <w:spacing w:after="0"/>
        <w:ind w:left="720" w:hanging="720"/>
        <w:contextualSpacing/>
        <w:rPr>
          <w:sz w:val="24"/>
          <w:szCs w:val="24"/>
        </w:rPr>
      </w:pPr>
      <w:bookmarkStart w:id="37" w:name="_ENREF_20"/>
      <w:r w:rsidRPr="00FC38CE">
        <w:rPr>
          <w:sz w:val="24"/>
          <w:szCs w:val="24"/>
        </w:rPr>
        <w:t>20.</w:t>
      </w:r>
      <w:r w:rsidRPr="00FC38CE">
        <w:rPr>
          <w:sz w:val="24"/>
          <w:szCs w:val="24"/>
        </w:rPr>
        <w:tab/>
        <w:t>Zdeblick, T. A. and Ducker, T. B. (1991), "The use of freeze-dried allograft bone for anterior cervical fusions</w:t>
      </w:r>
      <w:r w:rsidRPr="00FC38CE">
        <w:rPr>
          <w:i/>
          <w:sz w:val="24"/>
          <w:szCs w:val="24"/>
        </w:rPr>
        <w:t>"</w:t>
      </w:r>
      <w:r w:rsidRPr="00FC38CE">
        <w:rPr>
          <w:sz w:val="24"/>
          <w:szCs w:val="24"/>
        </w:rPr>
        <w:t xml:space="preserve">, </w:t>
      </w:r>
      <w:r w:rsidRPr="00FC38CE">
        <w:rPr>
          <w:i/>
          <w:sz w:val="24"/>
          <w:szCs w:val="24"/>
        </w:rPr>
        <w:t>Spine (Phila Pa 1976)</w:t>
      </w:r>
      <w:r w:rsidRPr="00FC38CE">
        <w:rPr>
          <w:sz w:val="24"/>
          <w:szCs w:val="24"/>
        </w:rPr>
        <w:t>. 16(7), pp. 726-729.</w:t>
      </w:r>
      <w:bookmarkEnd w:id="37"/>
    </w:p>
    <w:p w:rsidR="00FC38CE" w:rsidRPr="00FC38CE" w:rsidRDefault="00FC38CE" w:rsidP="00B82C1C">
      <w:pPr>
        <w:pStyle w:val="EndNoteBibliography"/>
        <w:ind w:left="720" w:hanging="720"/>
        <w:contextualSpacing/>
        <w:rPr>
          <w:sz w:val="24"/>
          <w:szCs w:val="24"/>
        </w:rPr>
      </w:pPr>
      <w:bookmarkStart w:id="38" w:name="_ENREF_21"/>
      <w:r w:rsidRPr="00FC38CE">
        <w:rPr>
          <w:sz w:val="24"/>
          <w:szCs w:val="24"/>
        </w:rPr>
        <w:t>21.</w:t>
      </w:r>
      <w:r w:rsidRPr="00FC38CE">
        <w:rPr>
          <w:sz w:val="24"/>
          <w:szCs w:val="24"/>
        </w:rPr>
        <w:tab/>
        <w:t>van der Haven, I., et al. (2005), "Anterior cervical interbody fusion with radiolucent carbon fiber cages: clinical and radiological results</w:t>
      </w:r>
      <w:r w:rsidRPr="00FC38CE">
        <w:rPr>
          <w:i/>
          <w:sz w:val="24"/>
          <w:szCs w:val="24"/>
        </w:rPr>
        <w:t>"</w:t>
      </w:r>
      <w:r w:rsidRPr="00FC38CE">
        <w:rPr>
          <w:sz w:val="24"/>
          <w:szCs w:val="24"/>
        </w:rPr>
        <w:t xml:space="preserve">, </w:t>
      </w:r>
      <w:r w:rsidRPr="00FC38CE">
        <w:rPr>
          <w:i/>
          <w:sz w:val="24"/>
          <w:szCs w:val="24"/>
        </w:rPr>
        <w:t>Acta Orthopaedica Belgica</w:t>
      </w:r>
      <w:r w:rsidRPr="00FC38CE">
        <w:rPr>
          <w:sz w:val="24"/>
          <w:szCs w:val="24"/>
        </w:rPr>
        <w:t>. 71(5), pp. 604-9.</w:t>
      </w:r>
      <w:bookmarkEnd w:id="38"/>
    </w:p>
    <w:p w:rsidR="00FC38CE" w:rsidRPr="00FC38CE" w:rsidRDefault="00FC38CE" w:rsidP="00B82C1C">
      <w:pPr>
        <w:pStyle w:val="EndNoteBibliography"/>
        <w:spacing w:after="0"/>
        <w:ind w:left="720" w:hanging="720"/>
        <w:contextualSpacing/>
        <w:rPr>
          <w:sz w:val="24"/>
          <w:szCs w:val="24"/>
          <w:lang w:val="vi-VN"/>
        </w:rPr>
      </w:pPr>
    </w:p>
    <w:p w:rsidR="00CA73C2" w:rsidRPr="00FC38CE" w:rsidRDefault="00CA73C2">
      <w:pPr>
        <w:rPr>
          <w:sz w:val="24"/>
          <w:szCs w:val="24"/>
        </w:rPr>
      </w:pPr>
    </w:p>
    <w:sectPr w:rsidR="00CA73C2" w:rsidRPr="00FC38CE" w:rsidSect="00351111">
      <w:headerReference w:type="default" r:id="rId7"/>
      <w:pgSz w:w="11906" w:h="16838"/>
      <w:pgMar w:top="1985" w:right="1134"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BB" w:rsidRDefault="001976BB">
      <w:pPr>
        <w:spacing w:after="0" w:line="240" w:lineRule="auto"/>
      </w:pPr>
      <w:r>
        <w:separator/>
      </w:r>
    </w:p>
  </w:endnote>
  <w:endnote w:type="continuationSeparator" w:id="0">
    <w:p w:rsidR="001976BB" w:rsidRDefault="0019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BB" w:rsidRDefault="001976BB">
      <w:pPr>
        <w:spacing w:after="0" w:line="240" w:lineRule="auto"/>
      </w:pPr>
      <w:r>
        <w:separator/>
      </w:r>
    </w:p>
  </w:footnote>
  <w:footnote w:type="continuationSeparator" w:id="0">
    <w:p w:rsidR="001976BB" w:rsidRDefault="0019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259" w:rsidRDefault="001976BB">
    <w:pPr>
      <w:pStyle w:val="Header"/>
      <w:jc w:val="center"/>
    </w:pPr>
  </w:p>
  <w:p w:rsidR="00C35259" w:rsidRPr="00597EB8" w:rsidRDefault="001976BB" w:rsidP="00597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5773"/>
    <w:multiLevelType w:val="hybridMultilevel"/>
    <w:tmpl w:val="F24499EC"/>
    <w:lvl w:ilvl="0" w:tplc="70F836C8">
      <w:start w:val="100"/>
      <w:numFmt w:val="decimal"/>
      <w:lvlText w:val="%1"/>
      <w:lvlJc w:val="left"/>
      <w:pPr>
        <w:ind w:left="810" w:hanging="45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B13C95"/>
    <w:multiLevelType w:val="multilevel"/>
    <w:tmpl w:val="1C58B188"/>
    <w:lvl w:ilvl="0">
      <w:start w:val="3"/>
      <w:numFmt w:val="decimal"/>
      <w:lvlText w:val="%1."/>
      <w:lvlJc w:val="left"/>
      <w:pPr>
        <w:ind w:left="585" w:hanging="585"/>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nsid w:val="054B3903"/>
    <w:multiLevelType w:val="multilevel"/>
    <w:tmpl w:val="F4BEE89E"/>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EC69FF"/>
    <w:multiLevelType w:val="hybridMultilevel"/>
    <w:tmpl w:val="CA34DA8E"/>
    <w:lvl w:ilvl="0" w:tplc="042A0001">
      <w:start w:val="1"/>
      <w:numFmt w:val="bullet"/>
      <w:lvlText w:val=""/>
      <w:lvlJc w:val="left"/>
      <w:pPr>
        <w:ind w:left="1400" w:hanging="360"/>
      </w:pPr>
      <w:rPr>
        <w:rFonts w:ascii="Symbol" w:hAnsi="Symbol"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4">
    <w:nsid w:val="0D8554EE"/>
    <w:multiLevelType w:val="multilevel"/>
    <w:tmpl w:val="F9A85E54"/>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597F63"/>
    <w:multiLevelType w:val="hybridMultilevel"/>
    <w:tmpl w:val="AE740C78"/>
    <w:lvl w:ilvl="0" w:tplc="042A0001">
      <w:start w:val="1"/>
      <w:numFmt w:val="bullet"/>
      <w:lvlText w:val=""/>
      <w:lvlJc w:val="left"/>
      <w:pPr>
        <w:ind w:left="2421" w:hanging="360"/>
      </w:pPr>
      <w:rPr>
        <w:rFonts w:ascii="Symbol" w:hAnsi="Symbol" w:hint="default"/>
      </w:rPr>
    </w:lvl>
    <w:lvl w:ilvl="1" w:tplc="042A0003" w:tentative="1">
      <w:start w:val="1"/>
      <w:numFmt w:val="bullet"/>
      <w:lvlText w:val="o"/>
      <w:lvlJc w:val="left"/>
      <w:pPr>
        <w:ind w:left="3141" w:hanging="360"/>
      </w:pPr>
      <w:rPr>
        <w:rFonts w:ascii="Courier New" w:hAnsi="Courier New" w:cs="Courier New" w:hint="default"/>
      </w:rPr>
    </w:lvl>
    <w:lvl w:ilvl="2" w:tplc="042A0005" w:tentative="1">
      <w:start w:val="1"/>
      <w:numFmt w:val="bullet"/>
      <w:lvlText w:val=""/>
      <w:lvlJc w:val="left"/>
      <w:pPr>
        <w:ind w:left="3861" w:hanging="360"/>
      </w:pPr>
      <w:rPr>
        <w:rFonts w:ascii="Wingdings" w:hAnsi="Wingdings" w:hint="default"/>
      </w:rPr>
    </w:lvl>
    <w:lvl w:ilvl="3" w:tplc="042A0001" w:tentative="1">
      <w:start w:val="1"/>
      <w:numFmt w:val="bullet"/>
      <w:lvlText w:val=""/>
      <w:lvlJc w:val="left"/>
      <w:pPr>
        <w:ind w:left="4581" w:hanging="360"/>
      </w:pPr>
      <w:rPr>
        <w:rFonts w:ascii="Symbol" w:hAnsi="Symbol" w:hint="default"/>
      </w:rPr>
    </w:lvl>
    <w:lvl w:ilvl="4" w:tplc="042A0003" w:tentative="1">
      <w:start w:val="1"/>
      <w:numFmt w:val="bullet"/>
      <w:lvlText w:val="o"/>
      <w:lvlJc w:val="left"/>
      <w:pPr>
        <w:ind w:left="5301" w:hanging="360"/>
      </w:pPr>
      <w:rPr>
        <w:rFonts w:ascii="Courier New" w:hAnsi="Courier New" w:cs="Courier New" w:hint="default"/>
      </w:rPr>
    </w:lvl>
    <w:lvl w:ilvl="5" w:tplc="042A0005" w:tentative="1">
      <w:start w:val="1"/>
      <w:numFmt w:val="bullet"/>
      <w:lvlText w:val=""/>
      <w:lvlJc w:val="left"/>
      <w:pPr>
        <w:ind w:left="6021" w:hanging="360"/>
      </w:pPr>
      <w:rPr>
        <w:rFonts w:ascii="Wingdings" w:hAnsi="Wingdings" w:hint="default"/>
      </w:rPr>
    </w:lvl>
    <w:lvl w:ilvl="6" w:tplc="042A0001" w:tentative="1">
      <w:start w:val="1"/>
      <w:numFmt w:val="bullet"/>
      <w:lvlText w:val=""/>
      <w:lvlJc w:val="left"/>
      <w:pPr>
        <w:ind w:left="6741" w:hanging="360"/>
      </w:pPr>
      <w:rPr>
        <w:rFonts w:ascii="Symbol" w:hAnsi="Symbol" w:hint="default"/>
      </w:rPr>
    </w:lvl>
    <w:lvl w:ilvl="7" w:tplc="042A0003" w:tentative="1">
      <w:start w:val="1"/>
      <w:numFmt w:val="bullet"/>
      <w:lvlText w:val="o"/>
      <w:lvlJc w:val="left"/>
      <w:pPr>
        <w:ind w:left="7461" w:hanging="360"/>
      </w:pPr>
      <w:rPr>
        <w:rFonts w:ascii="Courier New" w:hAnsi="Courier New" w:cs="Courier New" w:hint="default"/>
      </w:rPr>
    </w:lvl>
    <w:lvl w:ilvl="8" w:tplc="042A0005" w:tentative="1">
      <w:start w:val="1"/>
      <w:numFmt w:val="bullet"/>
      <w:lvlText w:val=""/>
      <w:lvlJc w:val="left"/>
      <w:pPr>
        <w:ind w:left="8181" w:hanging="360"/>
      </w:pPr>
      <w:rPr>
        <w:rFonts w:ascii="Wingdings" w:hAnsi="Wingdings" w:hint="default"/>
      </w:rPr>
    </w:lvl>
  </w:abstractNum>
  <w:abstractNum w:abstractNumId="6">
    <w:nsid w:val="1BBC2F34"/>
    <w:multiLevelType w:val="hybridMultilevel"/>
    <w:tmpl w:val="599ABAC2"/>
    <w:lvl w:ilvl="0" w:tplc="042A0001">
      <w:start w:val="1"/>
      <w:numFmt w:val="bullet"/>
      <w:lvlText w:val=""/>
      <w:lvlJc w:val="left"/>
      <w:pPr>
        <w:ind w:left="2880" w:hanging="360"/>
      </w:pPr>
      <w:rPr>
        <w:rFonts w:ascii="Symbol" w:hAnsi="Symbol" w:hint="default"/>
      </w:rPr>
    </w:lvl>
    <w:lvl w:ilvl="1" w:tplc="042A000D">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C1D4115"/>
    <w:multiLevelType w:val="hybridMultilevel"/>
    <w:tmpl w:val="0E9E2F96"/>
    <w:lvl w:ilvl="0" w:tplc="549C6B4E">
      <w:start w:val="1956"/>
      <w:numFmt w:val="bullet"/>
      <w:lvlText w:val="-"/>
      <w:lvlJc w:val="left"/>
      <w:pPr>
        <w:ind w:left="3272" w:hanging="360"/>
      </w:pPr>
      <w:rPr>
        <w:rFonts w:ascii="Calibri" w:eastAsia="Times New Roman" w:hAnsi="Calibri" w:hint="default"/>
      </w:rPr>
    </w:lvl>
    <w:lvl w:ilvl="1" w:tplc="042A0003" w:tentative="1">
      <w:start w:val="1"/>
      <w:numFmt w:val="bullet"/>
      <w:lvlText w:val="o"/>
      <w:lvlJc w:val="left"/>
      <w:pPr>
        <w:ind w:left="3992" w:hanging="360"/>
      </w:pPr>
      <w:rPr>
        <w:rFonts w:ascii="Courier New" w:hAnsi="Courier New" w:cs="Courier New" w:hint="default"/>
      </w:rPr>
    </w:lvl>
    <w:lvl w:ilvl="2" w:tplc="042A0005" w:tentative="1">
      <w:start w:val="1"/>
      <w:numFmt w:val="bullet"/>
      <w:lvlText w:val=""/>
      <w:lvlJc w:val="left"/>
      <w:pPr>
        <w:ind w:left="4712" w:hanging="360"/>
      </w:pPr>
      <w:rPr>
        <w:rFonts w:ascii="Wingdings" w:hAnsi="Wingdings" w:hint="default"/>
      </w:rPr>
    </w:lvl>
    <w:lvl w:ilvl="3" w:tplc="042A0001" w:tentative="1">
      <w:start w:val="1"/>
      <w:numFmt w:val="bullet"/>
      <w:lvlText w:val=""/>
      <w:lvlJc w:val="left"/>
      <w:pPr>
        <w:ind w:left="5432" w:hanging="360"/>
      </w:pPr>
      <w:rPr>
        <w:rFonts w:ascii="Symbol" w:hAnsi="Symbol" w:hint="default"/>
      </w:rPr>
    </w:lvl>
    <w:lvl w:ilvl="4" w:tplc="042A0003" w:tentative="1">
      <w:start w:val="1"/>
      <w:numFmt w:val="bullet"/>
      <w:lvlText w:val="o"/>
      <w:lvlJc w:val="left"/>
      <w:pPr>
        <w:ind w:left="6152" w:hanging="360"/>
      </w:pPr>
      <w:rPr>
        <w:rFonts w:ascii="Courier New" w:hAnsi="Courier New" w:cs="Courier New" w:hint="default"/>
      </w:rPr>
    </w:lvl>
    <w:lvl w:ilvl="5" w:tplc="042A0005" w:tentative="1">
      <w:start w:val="1"/>
      <w:numFmt w:val="bullet"/>
      <w:lvlText w:val=""/>
      <w:lvlJc w:val="left"/>
      <w:pPr>
        <w:ind w:left="6872" w:hanging="360"/>
      </w:pPr>
      <w:rPr>
        <w:rFonts w:ascii="Wingdings" w:hAnsi="Wingdings" w:hint="default"/>
      </w:rPr>
    </w:lvl>
    <w:lvl w:ilvl="6" w:tplc="042A0001" w:tentative="1">
      <w:start w:val="1"/>
      <w:numFmt w:val="bullet"/>
      <w:lvlText w:val=""/>
      <w:lvlJc w:val="left"/>
      <w:pPr>
        <w:ind w:left="7592" w:hanging="360"/>
      </w:pPr>
      <w:rPr>
        <w:rFonts w:ascii="Symbol" w:hAnsi="Symbol" w:hint="default"/>
      </w:rPr>
    </w:lvl>
    <w:lvl w:ilvl="7" w:tplc="042A0003" w:tentative="1">
      <w:start w:val="1"/>
      <w:numFmt w:val="bullet"/>
      <w:lvlText w:val="o"/>
      <w:lvlJc w:val="left"/>
      <w:pPr>
        <w:ind w:left="8312" w:hanging="360"/>
      </w:pPr>
      <w:rPr>
        <w:rFonts w:ascii="Courier New" w:hAnsi="Courier New" w:cs="Courier New" w:hint="default"/>
      </w:rPr>
    </w:lvl>
    <w:lvl w:ilvl="8" w:tplc="042A0005" w:tentative="1">
      <w:start w:val="1"/>
      <w:numFmt w:val="bullet"/>
      <w:lvlText w:val=""/>
      <w:lvlJc w:val="left"/>
      <w:pPr>
        <w:ind w:left="9032" w:hanging="360"/>
      </w:pPr>
      <w:rPr>
        <w:rFonts w:ascii="Wingdings" w:hAnsi="Wingdings" w:hint="default"/>
      </w:rPr>
    </w:lvl>
  </w:abstractNum>
  <w:abstractNum w:abstractNumId="8">
    <w:nsid w:val="1C2C7595"/>
    <w:multiLevelType w:val="hybridMultilevel"/>
    <w:tmpl w:val="4F20CF46"/>
    <w:lvl w:ilvl="0" w:tplc="549C6B4E">
      <w:start w:val="1956"/>
      <w:numFmt w:val="bullet"/>
      <w:lvlText w:val="-"/>
      <w:lvlJc w:val="left"/>
      <w:pPr>
        <w:ind w:left="2880" w:hanging="360"/>
      </w:pPr>
      <w:rPr>
        <w:rFonts w:ascii="Calibri" w:eastAsia="Times New Roman" w:hAnsi="Calibr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CD13A92"/>
    <w:multiLevelType w:val="multilevel"/>
    <w:tmpl w:val="042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DC5032"/>
    <w:multiLevelType w:val="multilevel"/>
    <w:tmpl w:val="ED046D1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11D1E1B"/>
    <w:multiLevelType w:val="multilevel"/>
    <w:tmpl w:val="51B27C46"/>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2B07EB0"/>
    <w:multiLevelType w:val="hybridMultilevel"/>
    <w:tmpl w:val="CFF691EA"/>
    <w:lvl w:ilvl="0" w:tplc="042A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4842397"/>
    <w:multiLevelType w:val="hybridMultilevel"/>
    <w:tmpl w:val="2638ADC0"/>
    <w:lvl w:ilvl="0" w:tplc="042A0001">
      <w:start w:val="1"/>
      <w:numFmt w:val="bullet"/>
      <w:lvlText w:val=""/>
      <w:lvlJc w:val="left"/>
      <w:pPr>
        <w:ind w:left="1400" w:hanging="360"/>
      </w:pPr>
      <w:rPr>
        <w:rFonts w:ascii="Symbol" w:hAnsi="Symbol"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14">
    <w:nsid w:val="263501CA"/>
    <w:multiLevelType w:val="multilevel"/>
    <w:tmpl w:val="A4AE41E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DFC59EF"/>
    <w:multiLevelType w:val="hybridMultilevel"/>
    <w:tmpl w:val="F24E5364"/>
    <w:lvl w:ilvl="0" w:tplc="042A000F">
      <w:start w:val="1"/>
      <w:numFmt w:val="decimal"/>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1D62AF1"/>
    <w:multiLevelType w:val="hybridMultilevel"/>
    <w:tmpl w:val="FE22281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36C63A4"/>
    <w:multiLevelType w:val="hybridMultilevel"/>
    <w:tmpl w:val="950ED9B8"/>
    <w:lvl w:ilvl="0" w:tplc="042A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61A33EC"/>
    <w:multiLevelType w:val="multilevel"/>
    <w:tmpl w:val="95567370"/>
    <w:lvl w:ilvl="0">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6B50BB0"/>
    <w:multiLevelType w:val="hybridMultilevel"/>
    <w:tmpl w:val="08C830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3D546E61"/>
    <w:multiLevelType w:val="hybridMultilevel"/>
    <w:tmpl w:val="BBD8D5C8"/>
    <w:lvl w:ilvl="0" w:tplc="549C6B4E">
      <w:start w:val="1956"/>
      <w:numFmt w:val="bullet"/>
      <w:lvlText w:val="-"/>
      <w:lvlJc w:val="left"/>
      <w:pPr>
        <w:ind w:left="3272" w:hanging="360"/>
      </w:pPr>
      <w:rPr>
        <w:rFonts w:ascii="Calibri" w:eastAsia="Times New Roman" w:hAnsi="Calibri" w:hint="default"/>
      </w:rPr>
    </w:lvl>
    <w:lvl w:ilvl="1" w:tplc="042A0003" w:tentative="1">
      <w:start w:val="1"/>
      <w:numFmt w:val="bullet"/>
      <w:lvlText w:val="o"/>
      <w:lvlJc w:val="left"/>
      <w:pPr>
        <w:ind w:left="3992" w:hanging="360"/>
      </w:pPr>
      <w:rPr>
        <w:rFonts w:ascii="Courier New" w:hAnsi="Courier New" w:cs="Courier New" w:hint="default"/>
      </w:rPr>
    </w:lvl>
    <w:lvl w:ilvl="2" w:tplc="042A0005" w:tentative="1">
      <w:start w:val="1"/>
      <w:numFmt w:val="bullet"/>
      <w:lvlText w:val=""/>
      <w:lvlJc w:val="left"/>
      <w:pPr>
        <w:ind w:left="4712" w:hanging="360"/>
      </w:pPr>
      <w:rPr>
        <w:rFonts w:ascii="Wingdings" w:hAnsi="Wingdings" w:hint="default"/>
      </w:rPr>
    </w:lvl>
    <w:lvl w:ilvl="3" w:tplc="042A0001" w:tentative="1">
      <w:start w:val="1"/>
      <w:numFmt w:val="bullet"/>
      <w:lvlText w:val=""/>
      <w:lvlJc w:val="left"/>
      <w:pPr>
        <w:ind w:left="5432" w:hanging="360"/>
      </w:pPr>
      <w:rPr>
        <w:rFonts w:ascii="Symbol" w:hAnsi="Symbol" w:hint="default"/>
      </w:rPr>
    </w:lvl>
    <w:lvl w:ilvl="4" w:tplc="042A0003" w:tentative="1">
      <w:start w:val="1"/>
      <w:numFmt w:val="bullet"/>
      <w:lvlText w:val="o"/>
      <w:lvlJc w:val="left"/>
      <w:pPr>
        <w:ind w:left="6152" w:hanging="360"/>
      </w:pPr>
      <w:rPr>
        <w:rFonts w:ascii="Courier New" w:hAnsi="Courier New" w:cs="Courier New" w:hint="default"/>
      </w:rPr>
    </w:lvl>
    <w:lvl w:ilvl="5" w:tplc="042A0005" w:tentative="1">
      <w:start w:val="1"/>
      <w:numFmt w:val="bullet"/>
      <w:lvlText w:val=""/>
      <w:lvlJc w:val="left"/>
      <w:pPr>
        <w:ind w:left="6872" w:hanging="360"/>
      </w:pPr>
      <w:rPr>
        <w:rFonts w:ascii="Wingdings" w:hAnsi="Wingdings" w:hint="default"/>
      </w:rPr>
    </w:lvl>
    <w:lvl w:ilvl="6" w:tplc="042A0001" w:tentative="1">
      <w:start w:val="1"/>
      <w:numFmt w:val="bullet"/>
      <w:lvlText w:val=""/>
      <w:lvlJc w:val="left"/>
      <w:pPr>
        <w:ind w:left="7592" w:hanging="360"/>
      </w:pPr>
      <w:rPr>
        <w:rFonts w:ascii="Symbol" w:hAnsi="Symbol" w:hint="default"/>
      </w:rPr>
    </w:lvl>
    <w:lvl w:ilvl="7" w:tplc="042A0003" w:tentative="1">
      <w:start w:val="1"/>
      <w:numFmt w:val="bullet"/>
      <w:lvlText w:val="o"/>
      <w:lvlJc w:val="left"/>
      <w:pPr>
        <w:ind w:left="8312" w:hanging="360"/>
      </w:pPr>
      <w:rPr>
        <w:rFonts w:ascii="Courier New" w:hAnsi="Courier New" w:cs="Courier New" w:hint="default"/>
      </w:rPr>
    </w:lvl>
    <w:lvl w:ilvl="8" w:tplc="042A0005" w:tentative="1">
      <w:start w:val="1"/>
      <w:numFmt w:val="bullet"/>
      <w:lvlText w:val=""/>
      <w:lvlJc w:val="left"/>
      <w:pPr>
        <w:ind w:left="9032" w:hanging="360"/>
      </w:pPr>
      <w:rPr>
        <w:rFonts w:ascii="Wingdings" w:hAnsi="Wingdings" w:hint="default"/>
      </w:rPr>
    </w:lvl>
  </w:abstractNum>
  <w:abstractNum w:abstractNumId="21">
    <w:nsid w:val="43D7478F"/>
    <w:multiLevelType w:val="multilevel"/>
    <w:tmpl w:val="137E38A4"/>
    <w:lvl w:ilvl="0">
      <w:start w:val="1"/>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9ED4E74"/>
    <w:multiLevelType w:val="hybridMultilevel"/>
    <w:tmpl w:val="F418D94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517D776D"/>
    <w:multiLevelType w:val="multilevel"/>
    <w:tmpl w:val="E2708F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3517FBE"/>
    <w:multiLevelType w:val="hybridMultilevel"/>
    <w:tmpl w:val="ED2693B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54881C07"/>
    <w:multiLevelType w:val="multilevel"/>
    <w:tmpl w:val="042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67506BD"/>
    <w:multiLevelType w:val="hybridMultilevel"/>
    <w:tmpl w:val="76F87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8332B8"/>
    <w:multiLevelType w:val="multilevel"/>
    <w:tmpl w:val="A9A6B2A8"/>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62530B"/>
    <w:multiLevelType w:val="hybridMultilevel"/>
    <w:tmpl w:val="3A5C6318"/>
    <w:lvl w:ilvl="0" w:tplc="042A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5DF96A8F"/>
    <w:multiLevelType w:val="hybridMultilevel"/>
    <w:tmpl w:val="F000FA2E"/>
    <w:lvl w:ilvl="0" w:tplc="272664EA">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600B4AB8"/>
    <w:multiLevelType w:val="hybridMultilevel"/>
    <w:tmpl w:val="6C628904"/>
    <w:lvl w:ilvl="0" w:tplc="042A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nsid w:val="6E1E558F"/>
    <w:multiLevelType w:val="hybridMultilevel"/>
    <w:tmpl w:val="1F1A9342"/>
    <w:lvl w:ilvl="0" w:tplc="042A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749A7D86"/>
    <w:multiLevelType w:val="hybridMultilevel"/>
    <w:tmpl w:val="986A8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77BA6C7C"/>
    <w:multiLevelType w:val="hybridMultilevel"/>
    <w:tmpl w:val="E7E24AB0"/>
    <w:lvl w:ilvl="0" w:tplc="042A0009">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nsid w:val="7BB346E7"/>
    <w:multiLevelType w:val="hybridMultilevel"/>
    <w:tmpl w:val="7F3ED53E"/>
    <w:lvl w:ilvl="0" w:tplc="042A000D">
      <w:start w:val="1"/>
      <w:numFmt w:val="bullet"/>
      <w:lvlText w:val=""/>
      <w:lvlJc w:val="left"/>
      <w:pPr>
        <w:ind w:left="1400" w:hanging="360"/>
      </w:pPr>
      <w:rPr>
        <w:rFonts w:ascii="Wingdings" w:hAnsi="Wingdings" w:hint="default"/>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35">
    <w:nsid w:val="7C5357D1"/>
    <w:multiLevelType w:val="hybridMultilevel"/>
    <w:tmpl w:val="64265B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C801775"/>
    <w:multiLevelType w:val="hybridMultilevel"/>
    <w:tmpl w:val="DBD0673C"/>
    <w:lvl w:ilvl="0" w:tplc="042A0001">
      <w:start w:val="1"/>
      <w:numFmt w:val="bullet"/>
      <w:lvlText w:val=""/>
      <w:lvlJc w:val="left"/>
      <w:pPr>
        <w:ind w:left="1400" w:hanging="360"/>
      </w:pPr>
      <w:rPr>
        <w:rFonts w:ascii="Symbol" w:hAnsi="Symbol" w:hint="default"/>
      </w:rPr>
    </w:lvl>
    <w:lvl w:ilvl="1" w:tplc="042A0005">
      <w:start w:val="1"/>
      <w:numFmt w:val="bullet"/>
      <w:lvlText w:val=""/>
      <w:lvlJc w:val="left"/>
      <w:pPr>
        <w:ind w:left="2120" w:hanging="360"/>
      </w:pPr>
      <w:rPr>
        <w:rFonts w:ascii="Wingdings" w:hAnsi="Wingdings" w:hint="default"/>
      </w:rPr>
    </w:lvl>
    <w:lvl w:ilvl="2" w:tplc="C260738C">
      <w:start w:val="3"/>
      <w:numFmt w:val="bullet"/>
      <w:lvlText w:val=""/>
      <w:lvlJc w:val="left"/>
      <w:pPr>
        <w:ind w:left="2840" w:hanging="360"/>
      </w:pPr>
      <w:rPr>
        <w:rFonts w:ascii="Wingdings" w:eastAsiaTheme="minorHAnsi" w:hAnsi="Wingdings" w:cstheme="majorHAnsi"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num w:numId="1">
    <w:abstractNumId w:val="23"/>
  </w:num>
  <w:num w:numId="2">
    <w:abstractNumId w:val="25"/>
  </w:num>
  <w:num w:numId="3">
    <w:abstractNumId w:val="29"/>
  </w:num>
  <w:num w:numId="4">
    <w:abstractNumId w:val="9"/>
  </w:num>
  <w:num w:numId="5">
    <w:abstractNumId w:val="16"/>
  </w:num>
  <w:num w:numId="6">
    <w:abstractNumId w:val="26"/>
  </w:num>
  <w:num w:numId="7">
    <w:abstractNumId w:val="32"/>
  </w:num>
  <w:num w:numId="8">
    <w:abstractNumId w:val="35"/>
  </w:num>
  <w:num w:numId="9">
    <w:abstractNumId w:val="8"/>
  </w:num>
  <w:num w:numId="10">
    <w:abstractNumId w:val="15"/>
  </w:num>
  <w:num w:numId="11">
    <w:abstractNumId w:val="33"/>
  </w:num>
  <w:num w:numId="12">
    <w:abstractNumId w:val="36"/>
  </w:num>
  <w:num w:numId="13">
    <w:abstractNumId w:val="22"/>
  </w:num>
  <w:num w:numId="14">
    <w:abstractNumId w:val="34"/>
  </w:num>
  <w:num w:numId="15">
    <w:abstractNumId w:val="31"/>
  </w:num>
  <w:num w:numId="16">
    <w:abstractNumId w:val="12"/>
  </w:num>
  <w:num w:numId="17">
    <w:abstractNumId w:val="3"/>
  </w:num>
  <w:num w:numId="18">
    <w:abstractNumId w:val="28"/>
  </w:num>
  <w:num w:numId="19">
    <w:abstractNumId w:val="17"/>
  </w:num>
  <w:num w:numId="20">
    <w:abstractNumId w:val="6"/>
  </w:num>
  <w:num w:numId="21">
    <w:abstractNumId w:val="1"/>
  </w:num>
  <w:num w:numId="22">
    <w:abstractNumId w:val="0"/>
  </w:num>
  <w:num w:numId="23">
    <w:abstractNumId w:val="5"/>
  </w:num>
  <w:num w:numId="24">
    <w:abstractNumId w:val="13"/>
  </w:num>
  <w:num w:numId="25">
    <w:abstractNumId w:val="30"/>
  </w:num>
  <w:num w:numId="26">
    <w:abstractNumId w:val="27"/>
  </w:num>
  <w:num w:numId="27">
    <w:abstractNumId w:val="2"/>
  </w:num>
  <w:num w:numId="28">
    <w:abstractNumId w:val="4"/>
  </w:num>
  <w:num w:numId="29">
    <w:abstractNumId w:val="11"/>
  </w:num>
  <w:num w:numId="30">
    <w:abstractNumId w:val="21"/>
  </w:num>
  <w:num w:numId="31">
    <w:abstractNumId w:val="10"/>
  </w:num>
  <w:num w:numId="3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9"/>
  </w:num>
  <w:num w:numId="41">
    <w:abstractNumId w:val="14"/>
  </w:num>
  <w:num w:numId="42">
    <w:abstractNumId w:val="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C38CE"/>
    <w:rsid w:val="00071158"/>
    <w:rsid w:val="00114350"/>
    <w:rsid w:val="00127413"/>
    <w:rsid w:val="001976BB"/>
    <w:rsid w:val="002701B0"/>
    <w:rsid w:val="002B04F7"/>
    <w:rsid w:val="003043FF"/>
    <w:rsid w:val="00360552"/>
    <w:rsid w:val="003E6688"/>
    <w:rsid w:val="00477DF1"/>
    <w:rsid w:val="004A76F3"/>
    <w:rsid w:val="004C5FB7"/>
    <w:rsid w:val="00544454"/>
    <w:rsid w:val="006902E6"/>
    <w:rsid w:val="007D1FDF"/>
    <w:rsid w:val="0080327D"/>
    <w:rsid w:val="0081324C"/>
    <w:rsid w:val="00957486"/>
    <w:rsid w:val="009B7764"/>
    <w:rsid w:val="009D70AB"/>
    <w:rsid w:val="00A155ED"/>
    <w:rsid w:val="00A22189"/>
    <w:rsid w:val="00A46ECC"/>
    <w:rsid w:val="00A637B4"/>
    <w:rsid w:val="00AB387E"/>
    <w:rsid w:val="00AF0B78"/>
    <w:rsid w:val="00B26842"/>
    <w:rsid w:val="00B82C1C"/>
    <w:rsid w:val="00B87D1D"/>
    <w:rsid w:val="00C30950"/>
    <w:rsid w:val="00CA73C2"/>
    <w:rsid w:val="00D131BE"/>
    <w:rsid w:val="00D959B5"/>
    <w:rsid w:val="00DE3617"/>
    <w:rsid w:val="00E13A47"/>
    <w:rsid w:val="00E5645A"/>
    <w:rsid w:val="00EC436C"/>
    <w:rsid w:val="00F2780A"/>
    <w:rsid w:val="00FA0F25"/>
    <w:rsid w:val="00FC38CE"/>
    <w:rsid w:val="00FE7D77"/>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15BD8B-C84A-460E-9303-41D2C3F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8CE"/>
    <w:pPr>
      <w:spacing w:line="360" w:lineRule="auto"/>
      <w:jc w:val="both"/>
    </w:pPr>
    <w:rPr>
      <w:rFonts w:asciiTheme="majorHAnsi" w:hAnsiTheme="majorHAnsi" w:cstheme="majorHAnsi"/>
      <w:sz w:val="28"/>
      <w:szCs w:val="28"/>
    </w:rPr>
  </w:style>
  <w:style w:type="paragraph" w:styleId="Heading1">
    <w:name w:val="heading 1"/>
    <w:basedOn w:val="Normal"/>
    <w:next w:val="Normal"/>
    <w:link w:val="Heading1Char"/>
    <w:autoRedefine/>
    <w:uiPriority w:val="9"/>
    <w:qFormat/>
    <w:rsid w:val="00FC38CE"/>
    <w:pPr>
      <w:keepNext/>
      <w:keepLines/>
      <w:spacing w:after="0"/>
      <w:ind w:left="360" w:hanging="360"/>
      <w:outlineLvl w:val="0"/>
    </w:pPr>
    <w:rPr>
      <w:rFonts w:eastAsiaTheme="majorEastAsia" w:cstheme="majorBidi"/>
      <w:b/>
      <w:sz w:val="24"/>
      <w:szCs w:val="24"/>
    </w:rPr>
  </w:style>
  <w:style w:type="paragraph" w:styleId="Heading2">
    <w:name w:val="heading 2"/>
    <w:basedOn w:val="Normal"/>
    <w:next w:val="Normal"/>
    <w:link w:val="Heading2Char"/>
    <w:autoRedefine/>
    <w:uiPriority w:val="9"/>
    <w:unhideWhenUsed/>
    <w:qFormat/>
    <w:rsid w:val="00FC38CE"/>
    <w:pPr>
      <w:keepNext/>
      <w:keepLines/>
      <w:spacing w:before="40" w:after="0" w:line="240" w:lineRule="auto"/>
      <w:outlineLvl w:val="1"/>
    </w:pPr>
    <w:rPr>
      <w:rFonts w:eastAsiaTheme="majorEastAsia" w:cstheme="majorBidi"/>
      <w:b/>
      <w:sz w:val="24"/>
      <w:szCs w:val="24"/>
    </w:rPr>
  </w:style>
  <w:style w:type="paragraph" w:styleId="Heading3">
    <w:name w:val="heading 3"/>
    <w:basedOn w:val="Normal"/>
    <w:next w:val="Normal"/>
    <w:link w:val="Heading3Char"/>
    <w:autoRedefine/>
    <w:uiPriority w:val="9"/>
    <w:unhideWhenUsed/>
    <w:qFormat/>
    <w:rsid w:val="00FC38CE"/>
    <w:pPr>
      <w:keepNext/>
      <w:keepLines/>
      <w:spacing w:before="40" w:after="0"/>
      <w:outlineLvl w:val="2"/>
    </w:pPr>
    <w:rPr>
      <w:rFonts w:eastAsiaTheme="majorEastAsia" w:cstheme="majorBidi"/>
      <w:b/>
      <w:szCs w:val="24"/>
      <w:lang w:val="en-US"/>
    </w:rPr>
  </w:style>
  <w:style w:type="paragraph" w:styleId="Heading4">
    <w:name w:val="heading 4"/>
    <w:basedOn w:val="Normal"/>
    <w:next w:val="Normal"/>
    <w:link w:val="Heading4Char"/>
    <w:autoRedefine/>
    <w:uiPriority w:val="9"/>
    <w:unhideWhenUsed/>
    <w:qFormat/>
    <w:rsid w:val="00FC38CE"/>
    <w:pPr>
      <w:keepNext/>
      <w:keepLines/>
      <w:tabs>
        <w:tab w:val="left" w:pos="284"/>
      </w:tabs>
      <w:spacing w:before="40" w:after="0"/>
      <w:ind w:left="567" w:hanging="567"/>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8CE"/>
    <w:rPr>
      <w:rFonts w:asciiTheme="majorHAnsi" w:eastAsiaTheme="majorEastAsia" w:hAnsiTheme="majorHAnsi" w:cstheme="majorBidi"/>
      <w:b/>
      <w:sz w:val="24"/>
      <w:szCs w:val="24"/>
    </w:rPr>
  </w:style>
  <w:style w:type="character" w:customStyle="1" w:styleId="Heading3Char">
    <w:name w:val="Heading 3 Char"/>
    <w:basedOn w:val="DefaultParagraphFont"/>
    <w:link w:val="Heading3"/>
    <w:uiPriority w:val="9"/>
    <w:rsid w:val="00FC38CE"/>
    <w:rPr>
      <w:rFonts w:asciiTheme="majorHAnsi" w:eastAsiaTheme="majorEastAsia" w:hAnsiTheme="majorHAnsi" w:cstheme="majorBidi"/>
      <w:b/>
      <w:sz w:val="28"/>
      <w:szCs w:val="24"/>
      <w:lang w:val="en-US"/>
    </w:rPr>
  </w:style>
  <w:style w:type="character" w:customStyle="1" w:styleId="Heading4Char">
    <w:name w:val="Heading 4 Char"/>
    <w:basedOn w:val="DefaultParagraphFont"/>
    <w:link w:val="Heading4"/>
    <w:uiPriority w:val="9"/>
    <w:rsid w:val="00FC38CE"/>
    <w:rPr>
      <w:rFonts w:asciiTheme="majorHAnsi" w:eastAsiaTheme="majorEastAsia" w:hAnsiTheme="majorHAnsi" w:cstheme="majorBidi"/>
      <w:iCs/>
      <w:sz w:val="28"/>
      <w:szCs w:val="28"/>
    </w:rPr>
  </w:style>
  <w:style w:type="character" w:customStyle="1" w:styleId="Heading1Char">
    <w:name w:val="Heading 1 Char"/>
    <w:basedOn w:val="DefaultParagraphFont"/>
    <w:link w:val="Heading1"/>
    <w:uiPriority w:val="9"/>
    <w:rsid w:val="00FC38CE"/>
    <w:rPr>
      <w:rFonts w:asciiTheme="majorHAnsi" w:eastAsiaTheme="majorEastAsia" w:hAnsiTheme="majorHAnsi" w:cstheme="majorBidi"/>
      <w:b/>
      <w:sz w:val="24"/>
      <w:szCs w:val="24"/>
    </w:rPr>
  </w:style>
  <w:style w:type="paragraph" w:styleId="Header">
    <w:name w:val="header"/>
    <w:basedOn w:val="Normal"/>
    <w:link w:val="HeaderChar"/>
    <w:uiPriority w:val="99"/>
    <w:unhideWhenUsed/>
    <w:rsid w:val="00FC3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CE"/>
    <w:rPr>
      <w:rFonts w:asciiTheme="majorHAnsi" w:hAnsiTheme="majorHAnsi" w:cstheme="majorHAnsi"/>
      <w:sz w:val="28"/>
      <w:szCs w:val="28"/>
    </w:rPr>
  </w:style>
  <w:style w:type="paragraph" w:styleId="Footer">
    <w:name w:val="footer"/>
    <w:basedOn w:val="Normal"/>
    <w:link w:val="FooterChar"/>
    <w:uiPriority w:val="99"/>
    <w:unhideWhenUsed/>
    <w:rsid w:val="00FC3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CE"/>
    <w:rPr>
      <w:rFonts w:asciiTheme="majorHAnsi" w:hAnsiTheme="majorHAnsi" w:cstheme="majorHAnsi"/>
      <w:sz w:val="28"/>
      <w:szCs w:val="28"/>
    </w:rPr>
  </w:style>
  <w:style w:type="paragraph" w:styleId="ListParagraph">
    <w:name w:val="List Paragraph"/>
    <w:basedOn w:val="Normal"/>
    <w:uiPriority w:val="34"/>
    <w:qFormat/>
    <w:rsid w:val="00FC38CE"/>
    <w:pPr>
      <w:ind w:left="720"/>
      <w:contextualSpacing/>
    </w:pPr>
  </w:style>
  <w:style w:type="paragraph" w:customStyle="1" w:styleId="EndNoteBibliographyTitle">
    <w:name w:val="EndNote Bibliography Title"/>
    <w:basedOn w:val="Normal"/>
    <w:link w:val="EndNoteBibliographyTitleChar"/>
    <w:rsid w:val="00FC38CE"/>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FC38CE"/>
    <w:rPr>
      <w:rFonts w:ascii="Times New Roman" w:hAnsi="Times New Roman" w:cs="Times New Roman"/>
      <w:noProof/>
      <w:sz w:val="28"/>
      <w:szCs w:val="28"/>
      <w:lang w:val="en-US"/>
    </w:rPr>
  </w:style>
  <w:style w:type="paragraph" w:customStyle="1" w:styleId="EndNoteBibliography">
    <w:name w:val="EndNote Bibliography"/>
    <w:basedOn w:val="Normal"/>
    <w:link w:val="EndNoteBibliographyChar"/>
    <w:rsid w:val="00FC38CE"/>
    <w:pPr>
      <w:spacing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FC38CE"/>
    <w:rPr>
      <w:rFonts w:ascii="Times New Roman" w:hAnsi="Times New Roman" w:cs="Times New Roman"/>
      <w:noProof/>
      <w:sz w:val="28"/>
      <w:szCs w:val="28"/>
      <w:lang w:val="en-US"/>
    </w:rPr>
  </w:style>
  <w:style w:type="character" w:styleId="Hyperlink">
    <w:name w:val="Hyperlink"/>
    <w:basedOn w:val="DefaultParagraphFont"/>
    <w:uiPriority w:val="99"/>
    <w:unhideWhenUsed/>
    <w:rsid w:val="00FC38CE"/>
    <w:rPr>
      <w:color w:val="0563C1" w:themeColor="hyperlink"/>
      <w:u w:val="single"/>
    </w:rPr>
  </w:style>
  <w:style w:type="paragraph" w:styleId="TOCHeading">
    <w:name w:val="TOC Heading"/>
    <w:basedOn w:val="Heading1"/>
    <w:next w:val="Normal"/>
    <w:uiPriority w:val="39"/>
    <w:unhideWhenUsed/>
    <w:qFormat/>
    <w:rsid w:val="00FC38CE"/>
    <w:pPr>
      <w:spacing w:line="259" w:lineRule="auto"/>
      <w:jc w:val="left"/>
      <w:outlineLvl w:val="9"/>
    </w:pPr>
    <w:rPr>
      <w:b w:val="0"/>
      <w:color w:val="2E74B5" w:themeColor="accent1" w:themeShade="BF"/>
      <w:lang w:val="en-US"/>
    </w:rPr>
  </w:style>
  <w:style w:type="paragraph" w:styleId="TOC2">
    <w:name w:val="toc 2"/>
    <w:basedOn w:val="Normal"/>
    <w:next w:val="Normal"/>
    <w:autoRedefine/>
    <w:uiPriority w:val="39"/>
    <w:unhideWhenUsed/>
    <w:rsid w:val="00FC38CE"/>
    <w:pPr>
      <w:spacing w:after="100"/>
      <w:ind w:left="280"/>
    </w:pPr>
  </w:style>
  <w:style w:type="paragraph" w:styleId="TOC3">
    <w:name w:val="toc 3"/>
    <w:basedOn w:val="Normal"/>
    <w:next w:val="Normal"/>
    <w:autoRedefine/>
    <w:uiPriority w:val="39"/>
    <w:unhideWhenUsed/>
    <w:rsid w:val="00FC38CE"/>
    <w:pPr>
      <w:spacing w:after="100"/>
      <w:ind w:left="560"/>
    </w:pPr>
  </w:style>
  <w:style w:type="character" w:customStyle="1" w:styleId="lk">
    <w:name w:val="lk"/>
    <w:basedOn w:val="DefaultParagraphFont"/>
    <w:rsid w:val="00FC38CE"/>
    <w:rPr>
      <w:rFonts w:cs="Times New Roman"/>
    </w:rPr>
  </w:style>
  <w:style w:type="character" w:customStyle="1" w:styleId="BalloonTextChar">
    <w:name w:val="Balloon Text Char"/>
    <w:basedOn w:val="DefaultParagraphFont"/>
    <w:link w:val="BalloonText"/>
    <w:uiPriority w:val="99"/>
    <w:semiHidden/>
    <w:rsid w:val="00FC38CE"/>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rsid w:val="00FC38CE"/>
    <w:pPr>
      <w:spacing w:after="0" w:line="240" w:lineRule="auto"/>
      <w:jc w:val="left"/>
    </w:pPr>
    <w:rPr>
      <w:rFonts w:ascii="Tahoma" w:eastAsia="Times New Roman" w:hAnsi="Tahoma" w:cs="Tahoma"/>
      <w:sz w:val="16"/>
      <w:szCs w:val="16"/>
      <w:lang w:val="en-US"/>
    </w:rPr>
  </w:style>
  <w:style w:type="character" w:customStyle="1" w:styleId="BalloonTextChar1">
    <w:name w:val="Balloon Text Char1"/>
    <w:basedOn w:val="DefaultParagraphFont"/>
    <w:uiPriority w:val="99"/>
    <w:semiHidden/>
    <w:rsid w:val="00FC38CE"/>
    <w:rPr>
      <w:rFonts w:ascii="Segoe UI" w:hAnsi="Segoe UI" w:cs="Segoe UI"/>
      <w:sz w:val="18"/>
      <w:szCs w:val="18"/>
    </w:rPr>
  </w:style>
  <w:style w:type="character" w:customStyle="1" w:styleId="emphb">
    <w:name w:val="emph_b"/>
    <w:basedOn w:val="DefaultParagraphFont"/>
    <w:rsid w:val="00FC38CE"/>
    <w:rPr>
      <w:rFonts w:cs="Times New Roman"/>
    </w:rPr>
  </w:style>
  <w:style w:type="character" w:customStyle="1" w:styleId="emphi">
    <w:name w:val="emph_i"/>
    <w:basedOn w:val="DefaultParagraphFont"/>
    <w:rsid w:val="00FC38CE"/>
    <w:rPr>
      <w:rFonts w:cs="Times New Roman"/>
    </w:rPr>
  </w:style>
  <w:style w:type="paragraph" w:customStyle="1" w:styleId="Style1">
    <w:name w:val="Style1"/>
    <w:basedOn w:val="Heading3"/>
    <w:rsid w:val="00FC38CE"/>
    <w:pPr>
      <w:keepLines w:val="0"/>
      <w:spacing w:before="120"/>
    </w:pPr>
    <w:rPr>
      <w:rFonts w:ascii="Times New Roman" w:eastAsia="Times New Roman" w:hAnsi="Times New Roman" w:cs="Arial"/>
      <w:b w:val="0"/>
      <w:bCs/>
      <w:szCs w:val="26"/>
    </w:rPr>
  </w:style>
  <w:style w:type="character" w:styleId="PageNumber">
    <w:name w:val="page number"/>
    <w:basedOn w:val="DefaultParagraphFont"/>
    <w:uiPriority w:val="99"/>
    <w:rsid w:val="00FC38CE"/>
    <w:rPr>
      <w:rFonts w:cs="Times New Roman"/>
    </w:rPr>
  </w:style>
  <w:style w:type="table" w:styleId="TableGrid">
    <w:name w:val="Table Grid"/>
    <w:basedOn w:val="TableNormal"/>
    <w:uiPriority w:val="59"/>
    <w:rsid w:val="00FC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C38CE"/>
    <w:pPr>
      <w:spacing w:before="240" w:after="0" w:line="240" w:lineRule="auto"/>
      <w:jc w:val="center"/>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Header1">
    <w:name w:val="Header1"/>
    <w:basedOn w:val="Normal"/>
    <w:rsid w:val="00FC38CE"/>
    <w:pPr>
      <w:spacing w:after="180" w:line="240" w:lineRule="auto"/>
      <w:jc w:val="left"/>
    </w:pPr>
    <w:rPr>
      <w:rFonts w:ascii="Arial" w:eastAsia="Times New Roman" w:hAnsi="Arial" w:cs="Arial"/>
      <w:b/>
      <w:bCs/>
      <w:sz w:val="22"/>
      <w:szCs w:val="22"/>
      <w:lang w:eastAsia="vi-VN"/>
    </w:rPr>
  </w:style>
  <w:style w:type="character" w:customStyle="1" w:styleId="normal1">
    <w:name w:val="normal1"/>
    <w:basedOn w:val="DefaultParagraphFont"/>
    <w:rsid w:val="00FC38CE"/>
    <w:rPr>
      <w:rFonts w:ascii="Arial" w:hAnsi="Arial" w:cs="Arial" w:hint="default"/>
      <w:color w:val="000000"/>
      <w:sz w:val="20"/>
      <w:szCs w:val="20"/>
    </w:rPr>
  </w:style>
  <w:style w:type="character" w:customStyle="1" w:styleId="result">
    <w:name w:val="result"/>
    <w:basedOn w:val="DefaultParagraphFont"/>
    <w:rsid w:val="00FC38CE"/>
    <w:rPr>
      <w:color w:val="000080"/>
    </w:rPr>
  </w:style>
  <w:style w:type="paragraph" w:customStyle="1" w:styleId="Header2">
    <w:name w:val="Header2"/>
    <w:basedOn w:val="Normal"/>
    <w:rsid w:val="00FC38CE"/>
    <w:pPr>
      <w:spacing w:after="180" w:line="240" w:lineRule="auto"/>
      <w:jc w:val="left"/>
    </w:pPr>
    <w:rPr>
      <w:rFonts w:ascii="Arial" w:eastAsia="Times New Roman" w:hAnsi="Arial" w:cs="Arial"/>
      <w:b/>
      <w:bCs/>
      <w:sz w:val="22"/>
      <w:szCs w:val="22"/>
      <w:lang w:eastAsia="vi-VN"/>
    </w:rPr>
  </w:style>
  <w:style w:type="paragraph" w:styleId="Caption">
    <w:name w:val="caption"/>
    <w:basedOn w:val="Normal"/>
    <w:next w:val="Normal"/>
    <w:uiPriority w:val="35"/>
    <w:unhideWhenUsed/>
    <w:qFormat/>
    <w:rsid w:val="00FC38CE"/>
    <w:pPr>
      <w:spacing w:after="200" w:line="240" w:lineRule="auto"/>
      <w:jc w:val="center"/>
    </w:pPr>
    <w:rPr>
      <w:b/>
      <w:iCs/>
      <w:szCs w:val="18"/>
    </w:rPr>
  </w:style>
  <w:style w:type="paragraph" w:styleId="TOC1">
    <w:name w:val="toc 1"/>
    <w:basedOn w:val="Normal"/>
    <w:next w:val="Normal"/>
    <w:autoRedefine/>
    <w:uiPriority w:val="39"/>
    <w:unhideWhenUsed/>
    <w:rsid w:val="00FC38CE"/>
    <w:pPr>
      <w:spacing w:after="100"/>
    </w:pPr>
  </w:style>
  <w:style w:type="paragraph" w:styleId="TableofFigures">
    <w:name w:val="table of figures"/>
    <w:basedOn w:val="Normal"/>
    <w:next w:val="Normal"/>
    <w:uiPriority w:val="99"/>
    <w:unhideWhenUsed/>
    <w:rsid w:val="00FC38CE"/>
    <w:pPr>
      <w:spacing w:after="0"/>
    </w:pPr>
  </w:style>
  <w:style w:type="character" w:styleId="Emphasis">
    <w:name w:val="Emphasis"/>
    <w:basedOn w:val="DefaultParagraphFont"/>
    <w:uiPriority w:val="20"/>
    <w:qFormat/>
    <w:rsid w:val="00FC3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2777</Words>
  <Characters>15832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Nguyen Hoang Thao</cp:lastModifiedBy>
  <cp:revision>4</cp:revision>
  <dcterms:created xsi:type="dcterms:W3CDTF">2016-04-07T01:27:00Z</dcterms:created>
  <dcterms:modified xsi:type="dcterms:W3CDTF">2016-04-11T03:35:00Z</dcterms:modified>
</cp:coreProperties>
</file>